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pecialized disclosure report</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u w:val="single" w:color="auto"/>
          <w:color w:val="auto"/>
        </w:rPr>
        <w:t>FREQUENCY ELECTRONICS,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540"/>
              <w:spacing w:after="0"/>
              <w:rPr>
                <w:sz w:val="20"/>
                <w:szCs w:val="20"/>
                <w:color w:val="auto"/>
              </w:rPr>
            </w:pPr>
            <w:r>
              <w:rPr>
                <w:rFonts w:ascii="Times New Roman" w:cs="Times New Roman" w:eastAsia="Times New Roman" w:hAnsi="Times New Roman"/>
                <w:sz w:val="18"/>
                <w:szCs w:val="18"/>
                <w:b w:val="1"/>
                <w:bCs w:val="1"/>
                <w:color w:val="auto"/>
              </w:rPr>
              <w:t>1-8061</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11-1986657</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7640" w:type="dxa"/>
            <w:vAlign w:val="bottom"/>
            <w:gridSpan w:val="7"/>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55 CHARLES LINDBERGH BLVD., MITCHEL FIELD, N.Y.</w:t>
            </w:r>
          </w:p>
        </w:tc>
        <w:tc>
          <w:tcPr>
            <w:tcW w:w="36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11553</w:t>
            </w:r>
          </w:p>
        </w:tc>
      </w:tr>
      <w:tr>
        <w:trPr>
          <w:trHeight w:val="234"/>
        </w:trPr>
        <w:tc>
          <w:tcPr>
            <w:tcW w:w="4420" w:type="dxa"/>
            <w:vAlign w:val="bottom"/>
            <w:tcBorders>
              <w:top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(Zip Code)</w:t>
            </w:r>
          </w:p>
        </w:tc>
      </w:tr>
      <w:tr>
        <w:trPr>
          <w:trHeight w:val="630"/>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Steven Bernstein</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right"/>
              <w:ind w:right="2150"/>
              <w:spacing w:after="0"/>
              <w:rPr>
                <w:sz w:val="20"/>
                <w:szCs w:val="20"/>
                <w:color w:val="auto"/>
              </w:rPr>
            </w:pPr>
            <w:r>
              <w:rPr>
                <w:rFonts w:ascii="Times New Roman" w:cs="Times New Roman" w:eastAsia="Times New Roman" w:hAnsi="Times New Roman"/>
                <w:sz w:val="18"/>
                <w:szCs w:val="18"/>
                <w:b w:val="1"/>
                <w:bCs w:val="1"/>
                <w:color w:val="auto"/>
              </w:rPr>
              <w:t>516-794-4500</w:t>
            </w:r>
          </w:p>
        </w:tc>
      </w:tr>
    </w:tbl>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submitted, and provide the period to which the information in this Form applies: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25"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1" w:name="page2"/>
    <w:bookmarkEnd w:id="1"/>
    <w:p>
      <w:pPr>
        <w:spacing w:after="0"/>
        <w:tabs>
          <w:tab w:leader="none" w:pos="860" w:val="left"/>
        </w:tabs>
        <w:rPr>
          <w:sz w:val="20"/>
          <w:szCs w:val="20"/>
          <w:color w:val="auto"/>
        </w:rPr>
      </w:pPr>
      <w:r>
        <w:rPr>
          <w:rFonts w:ascii="Times New Roman" w:cs="Times New Roman" w:eastAsia="Times New Roman" w:hAnsi="Times New Roman"/>
          <w:sz w:val="18"/>
          <w:szCs w:val="18"/>
          <w:b w:val="1"/>
          <w:bCs w:val="1"/>
          <w:i w:val="1"/>
          <w:iCs w:val="1"/>
          <w:color w:val="auto"/>
        </w:rPr>
        <w:t>Section 1.</w:t>
      </w:r>
      <w:r>
        <w:rPr>
          <w:sz w:val="20"/>
          <w:szCs w:val="20"/>
          <w:color w:val="auto"/>
        </w:rPr>
        <w:tab/>
      </w:r>
      <w:r>
        <w:rPr>
          <w:rFonts w:ascii="Times New Roman" w:cs="Times New Roman" w:eastAsia="Times New Roman" w:hAnsi="Times New Roman"/>
          <w:sz w:val="17"/>
          <w:szCs w:val="17"/>
          <w:b w:val="1"/>
          <w:bCs w:val="1"/>
          <w:i w:val="1"/>
          <w:iCs w:val="1"/>
          <w:color w:val="auto"/>
        </w:rPr>
        <w:t>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1.01 </w:t>
      </w:r>
      <w:r>
        <w:rPr>
          <w:rFonts w:ascii="Times New Roman" w:cs="Times New Roman" w:eastAsia="Times New Roman" w:hAnsi="Times New Roman"/>
          <w:sz w:val="18"/>
          <w:szCs w:val="18"/>
          <w:b w:val="1"/>
          <w:bCs w:val="1"/>
          <w:u w:val="single" w:color="auto"/>
          <w:color w:val="auto"/>
        </w:rPr>
        <w:t>Conflict Minerals Disclosure and Report</w:t>
      </w:r>
    </w:p>
    <w:p>
      <w:pPr>
        <w:spacing w:after="0" w:line="225"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Conflict Minerals Report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Frequency Electronics, Inc. (the “Company”) evaluated its current product lines and determined that certain products we manufacture contain tin, tungsten, tantalum and/or gold (3TG) necessary to the production or functionality of such products.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Rule 13p-1 under the Securities Exchange Act of 1934, as amended, the instructions to Form SD, and the Public Statement on the Effect of the Recent Court of Appeals Decision on the Conflict Minerals Rule issued by the Director of the Division of Corporation Finance of the Securities and Exchange Commission on April 29, 2014, the Company is filing herewith a Conflict Minerals Report, which is attached as Exhibit 1.01 and incorporated herein by reference.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Conflict Minerals Policy is publicly available at the Company’s website: https://freqelec.com/vendors/. This Form SD, including the Company’s Conflict Minerals Report provided as Exhibit 1.01 hereto, is publicly available at the Company’s website: www.freqelec.com under Investor Relations/Financial/SEC Filings. The content of our website as referred to in this Form SD is included for general information only and is not incorporated by reference into this Form SD.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1.02 </w:t>
      </w:r>
      <w:r>
        <w:rPr>
          <w:rFonts w:ascii="Times New Roman" w:cs="Times New Roman" w:eastAsia="Times New Roman" w:hAnsi="Times New Roman"/>
          <w:sz w:val="18"/>
          <w:szCs w:val="18"/>
          <w:b w:val="1"/>
          <w:bCs w:val="1"/>
          <w:u w:val="single" w:color="auto"/>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 Conflict Minerals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 Resource Extraction Issuer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2.01 </w:t>
      </w:r>
      <w:r>
        <w:rPr>
          <w:rFonts w:ascii="Times New Roman" w:cs="Times New Roman" w:eastAsia="Times New Roman" w:hAnsi="Times New Roman"/>
          <w:sz w:val="18"/>
          <w:szCs w:val="18"/>
          <w:b w:val="1"/>
          <w:bCs w:val="1"/>
          <w:u w:val="single" w:color="auto"/>
          <w:color w:val="auto"/>
        </w:rPr>
        <w:t>Resource Extraction Issuer Disclosure and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3.01  </w:t>
      </w:r>
      <w:r>
        <w:rPr>
          <w:rFonts w:ascii="Times New Roman" w:cs="Times New Roman" w:eastAsia="Times New Roman" w:hAnsi="Times New Roman"/>
          <w:sz w:val="18"/>
          <w:szCs w:val="18"/>
          <w:b w:val="1"/>
          <w:bCs w:val="1"/>
          <w:u w:val="single" w:color="auto"/>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 – Conflict Minerals Report as required by Items 1.01 and 1.02 of Form SD.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714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FREQUENCY ELECTRONICS, INC.</w:t>
            </w:r>
          </w:p>
        </w:tc>
      </w:tr>
      <w:tr>
        <w:trPr>
          <w:trHeight w:val="238"/>
        </w:trPr>
        <w:tc>
          <w:tcPr>
            <w:tcW w:w="4080" w:type="dxa"/>
            <w:vAlign w:val="bottom"/>
          </w:tcPr>
          <w:p>
            <w:pPr>
              <w:spacing w:after="0"/>
              <w:rPr>
                <w:sz w:val="20"/>
                <w:szCs w:val="20"/>
                <w:color w:val="auto"/>
              </w:rPr>
            </w:pPr>
          </w:p>
        </w:tc>
        <w:tc>
          <w:tcPr>
            <w:tcW w:w="714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(Registrant)</w:t>
            </w:r>
          </w:p>
        </w:tc>
      </w:tr>
      <w:tr>
        <w:trPr>
          <w:trHeight w:val="432"/>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 May 29, 2026</w:t>
            </w:r>
          </w:p>
        </w:tc>
        <w:tc>
          <w:tcPr>
            <w:tcW w:w="71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By:  /s/ Steven L. Bernstein</w:t>
            </w:r>
          </w:p>
        </w:tc>
      </w:tr>
      <w:tr>
        <w:trPr>
          <w:trHeight w:val="191"/>
        </w:trPr>
        <w:tc>
          <w:tcPr>
            <w:tcW w:w="40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Steven L. Bernstein</w:t>
            </w:r>
          </w:p>
        </w:tc>
      </w:tr>
      <w:tr>
        <w:trPr>
          <w:trHeight w:val="234"/>
        </w:trPr>
        <w:tc>
          <w:tcPr>
            <w:tcW w:w="40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Conflict Minerals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Frequency Electronics Inc. - For the Year Ended December 31, 2025</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Conflict Minerals Report for the year ended December 31, 2025 has been prepared by Frequency Electronics, Inc. (“Frequency” or the “Company,” “we,” “us,” or “our”) and is filed with the Securities and Exchange Commission (“SEC”) pursuant to Rule 13p-1 under the Securities Exchange Act of 1934, as amended (the “Rule”), on a consolidated basis, in accordance with the instructions to Form SD, as modified by the Public Statement on the Effect of the Recent Court of Appeals Decision on the Conflict Minerals Rule issued by the Director of the Division of Corporation Finance of the SEC on April 29, 2014 (the “SEC Statement”).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instructions to Form SD, as modified by the SEC Statement, this Report outlines the diligence measures undertaken by the Company to assess the source and chain of custody of necessary conflict minerals in its supply chain. This Report is not subject to an independent private sector audit in accordance with the instructions to Form SD and the guidance set forth in the SEC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Frequency designs, develops and manufactures high precision timing, frequency control and synchronization products for space and terrestrial applications. Frequency’s products are used in satellite payloads and in other commercial, government and military systems including C4ISR (“Command, Control, Communication, Computer, Intelligence, Security and Reconnaissance”), missiles, aircraft, GPS, secure radios, energy exploration and wireline and wireless communication networks. Frequency has received over 100 awards of excellence for achievements in providing high performance electronic assemblies for over 150 space and Department of Defense programs. The Company invests significant resources in research and development and strategic acquisitions world-wide to expand its capabilities and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2025 calendar year, Frequency determined that tin, tungsten, tantalum, and/or gold (3TGs) were necessary to the functionality or production of products that were manufactured or contracted to be manufactured. Therefore, Frequency conducted a reasonable country of origin inquiry to determine whether any of the 3TGs in its products originated from Conflict-Affected and High-Risk Areas (CAHRAs), such as the Democratic Republic of the Congo (DRC) or an adjoining country (collectively referred to as the “Covered Countries”).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the country of origin data, Frequency believes its products could contain 3TGs that may have originated in the Covered Countries and, therefore, in accordance with Section 1502 of the Dodd-Frank Wall Street Reform and Consumer Protection Act (from here on referred to “Section 1502 of the Dodd-Frank Act” or “the Rule”), due diligence was performed on the source and chain of custody of the 3TGs in question. The Company designed its due diligence measures to conform, in all material respects, with the internationally recognized due diligence framework of the Organization for Economic Co-Operation and Development (OECD) Due Diligence Guidance for Responsible Supply Chains of Minerals from Conflict-Affected and High-Risk Areas and the related supplements for gold, tin, tantalum, and tungsten (the “OECD Guidance”).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Frequency is committed to complying with the requirements of the Rule and upholding responsible sourcing practices. As such, the Company has put into place a robust due diligence program to ensure its contributions to uphold responsible practices across the supply chain.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Conflict Minerals Program &amp; 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actively engaged with its customers and suppliers for several years with respect to the use of conflict minerals. Frequency adopted a conflict minerals policy articulating the conflict minerals supply chain due diligence process and the Company’s commitments to reporting obligations regarding conflict minerals. The policy is available online and can be found on our website </w:t>
      </w:r>
      <w:r>
        <w:rPr>
          <w:rFonts w:ascii="Times New Roman" w:cs="Times New Roman" w:eastAsia="Times New Roman" w:hAnsi="Times New Roman"/>
          <w:sz w:val="18"/>
          <w:szCs w:val="18"/>
          <w:u w:val="single" w:color="auto"/>
          <w:color w:val="auto"/>
        </w:rPr>
        <w:t>https://freqelec.com/vendors/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Products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largest business area is satellite payloads. We provide master timing systems, power converters, and frequency generation, synthesis and distribution systems. Frequency’s products are also incorporated into a variety of C4ISR, secure communications and electronic warfare systems, on ground-based, sea-borne and air-borne platforms.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commercial markets also include network infrastructure and other industrial uses. The Company’s products provide precise time distribution for communication networks. Based upon Frequency’s internal assessment, most of the electronic system and subsystem products that we manufacture contain one or more of the 3TGs that are necessary to their functionality or production (“Covered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determine whether necessary 3TGs in products originated in Conflict-Affected and High-Risk Areas, Frequency retained Assent Inc. (“Assent”), a third-party service provider, to assist us in reviewing the supply chain and identifying risks. The Company provided a list composed of suppliers and parts associated with the in-scope products to Assent for upload to the Assent Compliance Manager.</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trace materials, and demonstrate transparency procured by the supply chain, Frequency utilized the Conflict Minerals Reporting Template (CMRT) Version 6. 5 or higher to conduct a survey of all in-scope suppliers.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supplier survey, the Company contacted suppliers via the Assent Compliance Manager, a software-as-a-service (SaaS) platform provided by Assent that enables users to complete and track supplier communications and allows suppliers to upload completed CMRTs directly to the platform for validation, assessment and management.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the Assent Compliance Manager and the Assent team, the Company requested that all suppliers complete a CMRT. Training and education to guide suppliers on best practices and the use of this template was included. Assent monitored and tracked all communications in the Assent Compliance Manager for future reporting and transparency. Frequency directly contacted suppliers that were unresponsive to Assent’s communications during the diligence process and requested these suppliers complete the CMRT and submit it to Assent.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program continues to include automated data validation on all submitted CMRTs. The goal of data validation is to increase the accuracy of submissions and identify any contradictory answers in the CMRT. This data validation is based on questions within the declaration tab of the CMRT, which helps identify areas that require further classification or risk assessment, as well as understand the due diligence efforts of Tier 1 suppliers. The results of this data validation contribute to the program’s health assessment and are shared with the suppliers to ensure they understand areas that require clarification or improvement.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Suppliers are contacted regarding invalid forms and are encouraged to correct validated errors to resubmit a valid form. Suppliers are provided with guidance on how to correct these validation errors in the form of feedback to their CMRT submission, training courses, and direct engagement help through Assent’s multilingual Supplier Experience team. Since some suppliers may remain unresponsive to feedback Frequency tracks program gaps to account for future improvement opportunities.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 xml:space="preserve">For 2025, there were </w:t>
      </w:r>
      <w:r>
        <w:rPr>
          <w:rFonts w:ascii="Times New Roman" w:cs="Times New Roman" w:eastAsia="Times New Roman" w:hAnsi="Times New Roman"/>
          <w:sz w:val="18"/>
          <w:szCs w:val="18"/>
          <w:b w:val="1"/>
          <w:bCs w:val="1"/>
          <w:color w:val="auto"/>
        </w:rPr>
        <w:t>271</w:t>
      </w:r>
      <w:r>
        <w:rPr>
          <w:rFonts w:ascii="Times New Roman" w:cs="Times New Roman" w:eastAsia="Times New Roman" w:hAnsi="Times New Roman"/>
          <w:sz w:val="18"/>
          <w:szCs w:val="18"/>
          <w:color w:val="auto"/>
        </w:rPr>
        <w:t xml:space="preserve"> suppliers in scope of the conflict minerals program and </w:t>
      </w:r>
      <w:r>
        <w:rPr>
          <w:rFonts w:ascii="Times New Roman" w:cs="Times New Roman" w:eastAsia="Times New Roman" w:hAnsi="Times New Roman"/>
          <w:sz w:val="18"/>
          <w:szCs w:val="18"/>
          <w:b w:val="1"/>
          <w:bCs w:val="1"/>
          <w:color w:val="auto"/>
        </w:rPr>
        <w:t>180</w:t>
      </w:r>
      <w:r>
        <w:rPr>
          <w:rFonts w:ascii="Times New Roman" w:cs="Times New Roman" w:eastAsia="Times New Roman" w:hAnsi="Times New Roman"/>
          <w:sz w:val="18"/>
          <w:szCs w:val="18"/>
          <w:color w:val="auto"/>
        </w:rPr>
        <w:t xml:space="preserve"> provided a completed CMRT. Frequency’s total response rate 2025 was </w:t>
      </w:r>
      <w:r>
        <w:rPr>
          <w:rFonts w:ascii="Times New Roman" w:cs="Times New Roman" w:eastAsia="Times New Roman" w:hAnsi="Times New Roman"/>
          <w:sz w:val="18"/>
          <w:szCs w:val="18"/>
          <w:b w:val="1"/>
          <w:bCs w:val="1"/>
          <w:color w:val="auto"/>
        </w:rPr>
        <w:t>66.42%</w:t>
      </w:r>
      <w:r>
        <w:rPr>
          <w:rFonts w:ascii="Times New Roman" w:cs="Times New Roman" w:eastAsia="Times New Roman" w:hAnsi="Times New Roman"/>
          <w:sz w:val="18"/>
          <w:szCs w:val="18"/>
          <w:color w:val="auto"/>
        </w:rPr>
        <w:t>. These metrics are summarized in the table below in order to assess progress over time: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Suppliers in</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8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Scope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Responded</w:t>
            </w:r>
          </w:p>
        </w:tc>
        <w:tc>
          <w:tcPr>
            <w:tcW w:w="160" w:type="dxa"/>
            <w:vAlign w:val="bottom"/>
            <w:tcBorders>
              <w:bottom w:val="single" w:sz="8" w:color="CCEEFF"/>
            </w:tcBorders>
          </w:tcPr>
          <w:p>
            <w:pPr>
              <w:spacing w:after="0"/>
              <w:rPr>
                <w:sz w:val="20"/>
                <w:szCs w:val="20"/>
                <w:color w:val="auto"/>
              </w:rPr>
            </w:pPr>
          </w:p>
        </w:tc>
      </w:tr>
      <w:tr>
        <w:trPr>
          <w:trHeight w:val="209"/>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61.97%</w:t>
            </w: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63.3%</w:t>
            </w: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69.42%</w:t>
            </w: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70.63%</w:t>
            </w: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66.42%</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reasonable due diligence practices, Frequency was able to take advantage of a broader set of country of origin data to complement efforts in establishing transparency in the supply chain. Based on the findings, Frequency was unable to determine all the possible countries that the 3TGs used in its products originated from. As such, Frequency performed further due diligence on the source and chain of custody of the minerals in question.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 of Due Diligence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Frequency designed its due diligence measures to conform, in all material respects, with the framework in the OECD Guidance and the related supplements. The program aligns with the five steps for due diligence that are described by the OECD Guidance, and the Company continues to evaluate market expectations for data collection and reporting to achieve continuous improvement opportunities.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diligence requires the Company’s necessary reliance on data provided by direct suppliers and third-party audit programs. There is a risk of incomplete or inaccurate data as the process cannot be fully controlled by the Company. However, through active risk identification, and risk assessment, as well as continued outreach and process validation, risk gaps have been mitigated. This aligns with industry standards and market expectations for downstream companies’ due diligence.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Performed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Establish Strong Company Management Systems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Compliance Team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Frequency established a cross-functional Conflict Minerals Compliance Team led by Dave Tobias Vice President of Manufacturing, also comprising representatives from our purchasing, contracts, and finance teams. Subject matter experts from relevant functions such as purchasing, subcontracts, and engineering support this team. The Conflict Minerals Compliance Team is responsible for implementing our conflict minerals compliance strategy and briefing senior management about the results of our due diligence efforts.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uses a third-party service provider, Assent, to assist with evaluating supply chain information regarding 3TGs, identifying potential risks, and in the development and implementation of additional due diligence steps that the Company may undertake with suppliers and/or respective stakeholders in regard to conflict minerals.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leverages Assent’s Managed Services in order to work with dedicated program specialists who support Frequency’s conflict minerals program. The Company communicates regularly with the Assent team in order to receive updates on program status. Each member of Assent’s Customer Success team is trained in conflict minerals compliance and understands the intricacies of reporting templates such as CMRT and CMRs, as well as Section 1502 of the Dodd-Frank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 Systems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expects all suppliers to have policies and procedures in place to ensure that 3TGs used in the production of the products sold to Frequency are “conflict free or responsibly sourced.” This means that the products should not contain minerals (3TGs) sourced from areas that have been identified to be in the presence of widespread human rights abuses and violations of law either directly or indirectly. The Company expects direct suppliers to provide information on the origin of the 3TGs contained in components and materials supplied, including sources of 3TGs that are supplied to them from lower-tier suppliers.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Frequency’s Supplier Code of Conduct applies to all direct suppliers and outlines certain expected behaviours and practices. This code of conduct is based on industry and internationally accepted principles such as the United Nations Guiding Principles on Business and Human Rights and the OECD Due Diligence Guidance. The Supplier Code of Conduct is provided to all direct suppliers. If a supplier does not meet the Company’s requirements, the relationship with this supplier will be evaluated. The Supplier Code of Conduct is reviewed annually to ensure it continues to align with industry best practices.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 Engagement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Frequency has strong relationships with Tier 1 direct suppliers. Frequency has leveraged processes and educational opportunities in order to ensure non-English speaking suppliers have access to a free platform to upload their CMRTs, help desk support, and other multilingual resources. Frequency’s suppliers are able to leverage Assent’s team of supplier support specialists to ensure they receive appropriate support and understand how to properly complete a CMRT. Suppliers are provided guidance in their native language, if needed.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engages with suppliers directly to request a valid (free of validated errors) CMRT for the products that they supply to the Company. With respect to the OECD requirement to strengthen engagement with suppliers, the Company has developed an internal procedure that includes supplier risk identification process that then leads to further steps of supplier engagement in the form of escalations, such as in-person meetings and/or corrective actions. Feedback from this engagement process has allowed the Company to oversee improvements in supplier responses and supplier compliance for this initiative.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Company’s Conflict Minerals Policy is included in supplier contracts, requiring new suppliers to read and accept the policy as a requirement of doing business with Frequency.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continues to place a strong emphasis on supplier education and training. To accomplish this, Assent’s online resources are leveraged, and all in-scope suppliers have been provided with access to their library of conflict minerals training and support resources. Also, Assent’s automated feedback process that notifies suppliers of risks associated with their CMRT submission serves to educate suppliers of certain conflict minerals’ risks.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believes that the combination of the Supplier Code of Conduct, Conflict Minerals Policy, and direct engagement with suppliers for conflict minerals training and support constitute a strong supplier engagement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Grievance Mechanisms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established multiple longstanding grievance mechanisms whereby employees and suppliers can report violations of Frequency’s policies, including conflict minerals. Suppliers and others outside of Frequency may contact the Conflict Minerals Team.</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Violations or grievances at the industry level can be reported to the Responsible Minerals Initiative (RMI) directly as well. This can be done at https://www.responsiblemineralsinitiative.org/minerals-due-diligence-container/risk-management/rmi-grievance-mechanism/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Maintain Records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adopted a policy to retain relevant documentation for a period of five years. Through Assent, a document retention policy to retain conflict minerals related documents, including supplier responses to CMRTs and the sources identified within each reporting period, has been implemented by the Company. The Company stores all of the information and findings from this process in a database that can be audited by internal or external parties.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Identifying &amp; Assessing Risk in the Supply Chain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 Risk Evaluation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Risks associated with Tier 1 suppliers’ due diligence processes were assessed by their declaration responses on a CMRT, which the Assent Compliance Manager identifies automatically based on established criteria. These risks are addressed by Assent staff and members of the Company’s internal Conflict Minerals Team, who engage with suppliers to gather pertinent data and ask for corrective actions if needed, performing an overall assessment of the supplier’s conformity status, which is referred to as “conflict minerals status.”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Risks at the supplier level may include non-responsive suppliers or incomplete CMRTs. In cases where a company-level CMRT, rather than a product level CMRT is submitted, Frequency is unable to identify which smelters or refiners actually processed the 3TGs contained in the products.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Assent’s supplier risk assessment (flagging suppliers’ risk as high, medium, low) identifies problematic suppliers in a company’s supply chain. The risk assessment is derived from the smelter validation process, which establishes risk at the smelter level via an analysis that takes into account multiple conflict minerals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Smelter/Refiners Risk Evaluation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supply chain risks were identified by assessing the due diligence practices and audit status of smelters/refiners identified in the supply chain by upstream suppliers that listed mineral processing facilities on their CMRT declarations. Assent’s Smelter validation program compared listed facilities to the list of smelters/refiners consolidated by the RMI to ensure that the facilities met the recognized definition of a 3TGs processing facility that was operational during the 2025 calendar year.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Assent determined if the smelter had been audited against a standard in conformance with the OECD Guidance, such as the Responsible Minerals Assurance Process (RMAP). Frequency does not have a direct relationship with smelters/refiners, and does not perform direct audits of the entities within its pre-supply chain. Smelters/refiners that are conformant to RMAP audit standards are considered to have their sourcing validated as “conflict free or responsibly sourced.” In cases where the smelter/refiner’s due diligence practices have not been audited against the RMAP standard or they are considered non-conformant by RMAP, further due diligence steps are followed to notify suppliers reporting these facilities. Smelters/refiners are actively monitored to proactively identify other risks pertaining to conflict minerals.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Each facility that meets the definition of a smelter or refiner of a 3TG mineral is assessed according to red-flag indicators defined in the OECD Guidance.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Assent uses numerous factors to determine the level of risk that each smelter poses to the supply chain by identifying red flags. These factors include:</w:t>
      </w:r>
    </w:p>
    <w:p>
      <w:pPr>
        <w:spacing w:after="0" w:line="20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proximity to Conflict-Affected and High-Risk Areas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Known mineral source country of origin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RMAP audit status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Credible evidence of unethical or conflict sourcing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assessments conducted by credible third-party 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risks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Risk mitigation activities are initiated whenever a supplier’s CMRT reports facilities of concern. Through Assent, suppliers with submissions that included any smelters/refiners of concern were immediately provided with feedback instructing suppliers to take their own independent risk mitigation actions. Examples include the submission of a product-specific CMRT to better identify the connection to products that they supply to Frequency. Suppliers are given clear performance objectives within reasonable timeframes with the ultimate goal of progressive elimination of these smelters/refiners of concern from the supply chain.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suppliers are guided to the educational materials on mitigating the risks identified through the data collection process.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Suppliers are also evaluated on program strength, which assists in making key risk mitigation decisions as the program progresses. The criteria used to evaluate the strength of the program is based on certain questions in the CMRT related to the suppliers’ conflict minerals practices and policies.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Design &amp; Implement A Strategy to Respond to Risks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Together with Assent, Frequency developed processes to assess and respond to the risks identified in the supply chain. Frequency has a risk management plan, through which the conflict minerals program is implemented, managed, and monitored. As the program progresses, escalations are sent to non-responsive suppliers to outline the importance of a response via CMRTs and to outline the required cooperation for compliance to the conflict minerals rules and the Company’s expectations.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Feedback on supplier submissions is given directly to suppliers and educational resources are provided to assist suppliers in corrective action methods or to improve their internal programs. In cases where suppliers have continuously been non-responsive or are not committed to corrective action plans, the Company will assess if replacing that supplier is feasible. The results of the program and risk assessment are shared with the Conflict Minerals Team and the Frequency’s leadership team to ensure transparency within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Carry Out Independent Third-Party Audit of Supply Chain Due Diligence at Identified Points in the Supply Chain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Frequency does not have a direct relationship with any 3TG smelters/refiners and does not perform or direct audits of these entities within the supply chain. Instead, the Company relies on third-party audits of smelters/refiners (industry-recognized audit/assessment programs). As an example, RMAP uses independent private-sector auditors, and audits the source, including the mines of origin, and the chain of custody of the conflict minerals used by smelters/refiners that agree to participate in the program.</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Assent directly engages smelters/refiners that are not currently enrolled in an industry-recognized audit/assessment program to encourage their participation Frequency is a signatory of these communications in accordance with the requirements of downstream companies detailed in the OECD Guidance.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Report Annually on Supply Chain Due Diligence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Frequency has published the Form SD for the year ended December 31, 2025. This report is available on Company’s website: www.freqelec.com under Investor Relations/Financial/SEC Filings. Information found on or accessed through this website is not considered part of this report and is not incorporated by reference herein.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continue to expand efforts both for transparency through the data collection process and risk evaluation, as well as the disclosure of efforts through the form of public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Supply Chain Outreach Results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Supply chain outreach is required to identify the upstream sources of origin of 3TGs. Following the industry standard process, CMRTs are sent to and requested from Tier 1 suppliers, who are expected to follow this process until the smelter and refiner sources are identified.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Upstream Data Transparency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Appendix A includes all smelters/refiners that suppliers listed in completed CMRTs that met the recognized definition of a 3TGs processing facility and were operational during the 2025 calendar year. As is a common practice when requests are sent upstream in the supply chain, those who purchase materials from smelters/refiners may not be able to discern exactly which company’s product lines the materials may end up in. As a result, those providing the smelters/refiners have the practice to list all smelters/refiners they may purchase from within the reporting period. Therefore, the smelters/refiners (as sources) listed in Appendix A are likely to be more comprehensive than the list of smelters/refiners that actually processed the 3TGs contained in the Company’s products.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Although the potential for over-reporting is understood, Frequency has taken measures to validate all smelter/refiner data against validated audit programs and databases intended to verify the material types and mine sources of origin. From the gathered responses, </w:t>
      </w:r>
      <w:r>
        <w:rPr>
          <w:rFonts w:ascii="Times New Roman" w:cs="Times New Roman" w:eastAsia="Times New Roman" w:hAnsi="Times New Roman"/>
          <w:sz w:val="18"/>
          <w:szCs w:val="18"/>
          <w:b w:val="1"/>
          <w:bCs w:val="1"/>
          <w:color w:val="auto"/>
        </w:rPr>
        <w:t>36</w:t>
      </w:r>
      <w:r>
        <w:rPr>
          <w:rFonts w:ascii="Times New Roman" w:cs="Times New Roman" w:eastAsia="Times New Roman" w:hAnsi="Times New Roman"/>
          <w:sz w:val="18"/>
          <w:szCs w:val="18"/>
          <w:color w:val="auto"/>
        </w:rPr>
        <w:t xml:space="preserve"> smelters that potentially posed a risk due to the presence of some red flag indicators were identified.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Suppliers that identified these specific smelters of concern on their CMRT were contacted in accordance with the OECD Guidance, as stipulated in the previous sections. The following chart outlines the number of smelters/refiners on Appendix A that are RMAP conformant, RMAP active, not enrolled or non-conformant.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Number of</w:t>
            </w:r>
          </w:p>
        </w:tc>
      </w:tr>
      <w:tr>
        <w:trPr>
          <w:trHeight w:val="216"/>
        </w:trPr>
        <w:tc>
          <w:tcPr>
            <w:tcW w:w="9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identified</w:t>
            </w:r>
          </w:p>
        </w:tc>
      </w:tr>
      <w:tr>
        <w:trPr>
          <w:trHeight w:val="234"/>
        </w:trPr>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Categories of Smelters/Refiners</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smelters/refiners</w:t>
            </w:r>
          </w:p>
        </w:tc>
      </w:tr>
      <w:tr>
        <w:trPr>
          <w:trHeight w:val="210"/>
        </w:trPr>
        <w:tc>
          <w:tcPr>
            <w:tcW w:w="9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RMAP Conformant</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RMAP Active</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9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Enrolled</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r>
      <w:tr>
        <w:trPr>
          <w:trHeight w:val="234"/>
        </w:trPr>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Non-Conformant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bl>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Country of Origin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Appendix B includes an aggregated list of countries of origin from which the reported facilities collectively source 3TGs, based on reasonable identification of country-of-origin data obtained via Assent’s supply chain database or alternative RCOI data obtained by Frequency. As mentioned in the above section, it is understood that overreporting might occur which could result in Appendix B having more countries than those strictly relevant to the Company’s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Steps to Be Taken to Mitigate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2026, Frequency intends to take the following steps to improve the due diligence conducted to further mitigate any risk that the necessary 3TGs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products could originate from Conflict-Affected and High-Risk Areas:</w:t>
      </w:r>
    </w:p>
    <w:p>
      <w:pPr>
        <w:spacing w:after="0" w:line="20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evaluate upstream sources through a broader set of tools to evaluate risk. These include, but are not limited to:</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comprehensive smelter/refiner library with detailed status and notes for each entity.</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Scanning for verifiable media sources on each smelter/refiner to flag risk issues.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list of smelters/refiners against government watch and denied parties lists.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with suppliers more closely and provide more information and training resources regarding responsible sourcing of 3TGs.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suppliers to have due diligence procedures in place for their supply chains to improve the content of the responses from such suppliers.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include a conflict minerals flow-down clause in new or renewed supplier contracts, as well as included in the terms and conditions of each purchase order issued.</w:t>
      </w:r>
    </w:p>
    <w:p>
      <w:pPr>
        <w:ind w:left="660" w:right="20" w:hanging="328"/>
        <w:spacing w:after="0" w:line="26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OECD Guidance process, increase the emphasis on clean and validated smelter/refiner information from the supply chain through feedback and detailed smelter/refiner analysis.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Appendix A: Smelter List</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14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180" w:type="dxa"/>
            <w:vAlign w:val="bottom"/>
            <w:tcBorders>
              <w:top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Smelter Name</w:t>
            </w:r>
          </w:p>
        </w:tc>
        <w:tc>
          <w:tcPr>
            <w:tcW w:w="2800" w:type="dxa"/>
            <w:vAlign w:val="bottom"/>
            <w:tcBorders>
              <w:top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Smelter Facility Location</w:t>
            </w:r>
          </w:p>
        </w:tc>
        <w:tc>
          <w:tcPr>
            <w:tcW w:w="1560" w:type="dxa"/>
            <w:vAlign w:val="bottom"/>
            <w:tcBorders>
              <w:top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156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RMAP Audit</w:t>
            </w:r>
          </w:p>
        </w:tc>
        <w:tc>
          <w:tcPr>
            <w:tcW w:w="0" w:type="dxa"/>
            <w:vAlign w:val="bottom"/>
          </w:tcPr>
          <w:p>
            <w:pPr>
              <w:spacing w:after="0"/>
              <w:rPr>
                <w:sz w:val="1"/>
                <w:szCs w:val="1"/>
                <w:color w:val="auto"/>
              </w:rPr>
            </w:pPr>
          </w:p>
        </w:tc>
      </w:tr>
      <w:tr>
        <w:trPr>
          <w:trHeight w:val="130"/>
        </w:trPr>
        <w:tc>
          <w:tcPr>
            <w:tcW w:w="1140" w:type="dxa"/>
            <w:vAlign w:val="bottom"/>
            <w:tcBorders>
              <w:left w:val="single" w:sz="8" w:color="auto"/>
              <w:right w:val="single" w:sz="8" w:color="auto"/>
            </w:tcBorders>
            <w:vMerge w:val="continue"/>
          </w:tcPr>
          <w:p>
            <w:pPr>
              <w:spacing w:after="0"/>
              <w:rPr>
                <w:sz w:val="11"/>
                <w:szCs w:val="11"/>
                <w:color w:val="auto"/>
              </w:rPr>
            </w:pPr>
          </w:p>
        </w:tc>
        <w:tc>
          <w:tcPr>
            <w:tcW w:w="4180" w:type="dxa"/>
            <w:vAlign w:val="bottom"/>
            <w:tcBorders>
              <w:right w:val="single" w:sz="8" w:color="auto"/>
            </w:tcBorders>
            <w:vMerge w:val="continue"/>
          </w:tcPr>
          <w:p>
            <w:pPr>
              <w:spacing w:after="0"/>
              <w:rPr>
                <w:sz w:val="11"/>
                <w:szCs w:val="11"/>
                <w:color w:val="auto"/>
              </w:rPr>
            </w:pPr>
          </w:p>
        </w:tc>
        <w:tc>
          <w:tcPr>
            <w:tcW w:w="2800" w:type="dxa"/>
            <w:vAlign w:val="bottom"/>
            <w:tcBorders>
              <w:right w:val="single" w:sz="8" w:color="auto"/>
            </w:tcBorders>
            <w:vMerge w:val="continue"/>
          </w:tcPr>
          <w:p>
            <w:pPr>
              <w:spacing w:after="0"/>
              <w:rPr>
                <w:sz w:val="11"/>
                <w:szCs w:val="11"/>
                <w:color w:val="auto"/>
              </w:rPr>
            </w:pPr>
          </w:p>
        </w:tc>
        <w:tc>
          <w:tcPr>
            <w:tcW w:w="1560" w:type="dxa"/>
            <w:vAlign w:val="bottom"/>
            <w:tcBorders>
              <w:right w:val="single" w:sz="8" w:color="auto"/>
            </w:tcBorders>
            <w:vMerge w:val="continue"/>
          </w:tcPr>
          <w:p>
            <w:pPr>
              <w:spacing w:after="0"/>
              <w:rPr>
                <w:sz w:val="11"/>
                <w:szCs w:val="11"/>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Minsur</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Peru</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CID001182</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Royal Canadian Mint</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Canada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CID001534</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Belgium</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CID001980</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 Vinto</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CID000438</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Mineracao Taboca S.A.</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CID001173</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CID001337</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Timah Tbk Kundur</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CID001477</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Timah Tbk Mentok</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CID001482</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CID001761</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Thaisarco</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Thailand</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CID001898</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CID002036</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Aurubis Beerse</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Belgium</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CID002773</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CID003325</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Agosi AG</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CID000035</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CID000058</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Argor-Heraeus S.A.</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CID000077</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Aurubis AG</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CID000113</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Boliden Ronnskar</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Sweden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CID000157</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 Hafner GmbH + Co. KG</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CID000176</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Chimet S.p.A.</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Italy</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CID000233</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30"/>
        </w:trPr>
        <w:tc>
          <w:tcPr>
            <w:tcW w:w="11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2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CID000292</w:t>
            </w:r>
          </w:p>
        </w:tc>
        <w:tc>
          <w:tcPr>
            <w:tcW w:w="156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Dowa</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CID000401</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Fenix Metals</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Poland</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CID000468</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Heimerle + Meule GmbH</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CID000694</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CID000707</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Istanbul Gold Refinery</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Turkey</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CID000814</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Asahi Refining USA Inc.</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CID000920</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Canada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CID000924</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 Tin Group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CID001070</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Metallic Resources, Inc.</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CID001142</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CID001149</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Metalor Technologies S.A.</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CID001153</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CID001157</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CID001191</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MKS PAMP SA</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CID001352</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Mitra Stania Prima</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CID001453</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Rui Da Hung</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CID001539</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CID001875</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CID001993</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CID002503</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Aurubis Berango</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Spain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CID002774</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Advanced Chemical Company</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CID000015</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CID000019</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30"/>
        </w:trPr>
        <w:tc>
          <w:tcPr>
            <w:tcW w:w="11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Asaka Riken Co., Ltd.</w:t>
            </w:r>
          </w:p>
        </w:tc>
        <w:tc>
          <w:tcPr>
            <w:tcW w:w="2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CID000090</w:t>
            </w:r>
          </w:p>
        </w:tc>
        <w:tc>
          <w:tcPr>
            <w:tcW w:w="156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CID000218</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CID000228</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Chugai Mining</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CID000264</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Premium Tin Indonesia</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CID000313</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DSC (Do Sung Corporation)</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CID000359</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Dowa</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CID000402</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CID000425</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LT Metal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CID000689</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 New Metals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CID000825</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Materion</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CID001113</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Singapore</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CID001152</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Mexico</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CID001161</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CID001193</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CID001325</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Prima Timah Utama</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CID001458</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Spain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CID001585</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CID001622</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CID001916</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Austria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CID002044</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Yamakin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CID002100</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30"/>
        </w:trPr>
        <w:tc>
          <w:tcPr>
            <w:tcW w:w="11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Yokohama Metal Co., Ltd.</w:t>
            </w:r>
          </w:p>
        </w:tc>
        <w:tc>
          <w:tcPr>
            <w:tcW w:w="2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CID002129</w:t>
            </w:r>
          </w:p>
        </w:tc>
        <w:tc>
          <w:tcPr>
            <w:tcW w:w="156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CID002158</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CID002180</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SAFINA A.S.</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Czechia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CID002290</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CID002468</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H.C. Starck Tungsten GmbH</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CID002541</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CID002542</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Masan High-Tech Materials</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Viet Nam</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CID002543</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CID002551</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REMONDIS PMR B.V.</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Netherlands</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CID002582</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Rajehan Ariq</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CID002593</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Cipta Persada Mulia</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CID002696</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Super Ligas</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CID002756</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Bangka Prima Tin</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CID002776</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WIELAND Edelmetalle GmbH</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CID002778</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CID003116</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CID003190</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CID003449</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CRM Synergies</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Spain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CID003524</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CID003868</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Malaysia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CID004434</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30"/>
        </w:trPr>
        <w:tc>
          <w:tcPr>
            <w:tcW w:w="11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2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Uzbekistan</w:t>
            </w:r>
          </w:p>
        </w:tc>
        <w:tc>
          <w:tcPr>
            <w:tcW w:w="156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CID000041</w:t>
            </w:r>
          </w:p>
        </w:tc>
        <w:tc>
          <w:tcPr>
            <w:tcW w:w="156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Asahi Pretec Corp.</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CID000082</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Kennametal Huntsville</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CID000105</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Bangko Sentral ng Pilipinas (Central Bank of the</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Philippines</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CID000128</w:t>
            </w: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Philippines)</w:t>
            </w: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vMerge w:val="continue"/>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Canada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CID000185</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CID000258</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Estanho de Rondonia S.A.</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CID000448</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CID000538</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CID000568</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CID000711</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Inner Mongolia Qiankun Gold and Silver Refinery</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CID000801</w:t>
            </w: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Share Co., Ltd.</w:t>
            </w: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vMerge w:val="continue"/>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CID000807</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 Mint</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CID000823</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Jiangxi Copper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CID000855</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CID000937</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Kazzinc</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Kazakhstan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CID000957</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CID000969</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Kojima Chemicals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CID000981</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LS MnM Inc.</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CID001078</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Matsuda Sangyo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CID001119</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230"/>
        </w:trPr>
        <w:tc>
          <w:tcPr>
            <w:tcW w:w="11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2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CID001147</w:t>
            </w:r>
          </w:p>
        </w:tc>
        <w:tc>
          <w:tcPr>
            <w:tcW w:w="156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CID001188</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Turkey</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CID001220</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Uzbekistan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CID001236</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Nihon Material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CID001259</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Thailand</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CID001314</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CID001397</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PX Precinox S.A.</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CID001498</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Rand Refinery (Pty)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South Africa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CID001512</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CID001736</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CID001798</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Tokuriki Honten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CID001938</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Valcambi S.A.</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CID002003</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Western Australian Mint (T/a The Perth Mint)</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Australia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CID002030</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Xiamen Tungsten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CID002082</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Zhongyuan Gold Smelter of Zhongjin Gold</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CID002224</w:t>
            </w: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Corporation</w:t>
            </w: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vMerge w:val="continue"/>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CID002320</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MMTC-PAMP India Pvt.,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CID002509</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Poland</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CID002511</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Philippines</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CID002517</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229"/>
        </w:trPr>
        <w:tc>
          <w:tcPr>
            <w:tcW w:w="11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CV Ayi Jaya</w:t>
            </w:r>
          </w:p>
        </w:tc>
        <w:tc>
          <w:tcPr>
            <w:tcW w:w="2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56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CID002570</w:t>
            </w:r>
          </w:p>
        </w:tc>
        <w:tc>
          <w:tcPr>
            <w:tcW w:w="156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T.C.A S.p.A</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Italy</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CID002580</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Niagara Refining LLC</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CID002589</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Zinc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CID002605</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TOO Tau-Ken-Altyn</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Kazakhstan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CID002615</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CID002706</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CID002708</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Italpreziosi</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Italy</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CID002765</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SungEel HiMetal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CID002918</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Chile</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CID002919</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NH Recytech Company</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CID003189</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CID003397</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CID003424</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CID003425</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CRM Fundicao De Metais E Comercio De</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CID003486</w:t>
            </w: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Active</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Equipamentos Eletronicos Do Brasil Ltda</w:t>
            </w: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vMerge w:val="continue"/>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South Africa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CID003575</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 by Gold Colombia</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Colombia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CID003641</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Coimpa Industrial LTDA</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CID004010</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211"/>
        </w:trPr>
        <w:tc>
          <w:tcPr>
            <w:tcW w:w="1140" w:type="dxa"/>
            <w:vAlign w:val="bottom"/>
            <w:tcBorders>
              <w:top w:val="single" w:sz="8" w:color="auto"/>
              <w:left w:val="single" w:sz="8" w:color="auto"/>
              <w:right w:val="single" w:sz="8" w:color="auto"/>
            </w:tcBorders>
          </w:tcPr>
          <w:p>
            <w:pPr>
              <w:spacing w:after="0"/>
              <w:rPr>
                <w:sz w:val="18"/>
                <w:szCs w:val="18"/>
                <w:color w:val="auto"/>
              </w:rPr>
            </w:pPr>
          </w:p>
        </w:tc>
        <w:tc>
          <w:tcPr>
            <w:tcW w:w="41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Takehara PVD Materials Plant / PVD Materials</w:t>
            </w:r>
          </w:p>
        </w:tc>
        <w:tc>
          <w:tcPr>
            <w:tcW w:w="2800" w:type="dxa"/>
            <w:vAlign w:val="bottom"/>
            <w:tcBorders>
              <w:top w:val="single" w:sz="8" w:color="auto"/>
              <w:right w:val="single" w:sz="8" w:color="auto"/>
            </w:tcBorders>
          </w:tcPr>
          <w:p>
            <w:pPr>
              <w:spacing w:after="0"/>
              <w:rPr>
                <w:sz w:val="18"/>
                <w:szCs w:val="18"/>
                <w:color w:val="auto"/>
              </w:rPr>
            </w:pPr>
          </w:p>
        </w:tc>
        <w:tc>
          <w:tcPr>
            <w:tcW w:w="1560" w:type="dxa"/>
            <w:vAlign w:val="bottom"/>
            <w:tcBorders>
              <w:top w:val="single" w:sz="8" w:color="auto"/>
              <w:right w:val="single" w:sz="8" w:color="auto"/>
            </w:tcBorders>
          </w:tcPr>
          <w:p>
            <w:pPr>
              <w:spacing w:after="0"/>
              <w:rPr>
                <w:sz w:val="18"/>
                <w:szCs w:val="18"/>
                <w:color w:val="auto"/>
              </w:rPr>
            </w:pPr>
          </w:p>
        </w:tc>
        <w:tc>
          <w:tcPr>
            <w:tcW w:w="15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Division of MITSUI MINING &amp; SMELTING CO.,</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CID004403</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LTD.</w:t>
            </w:r>
          </w:p>
        </w:tc>
        <w:tc>
          <w:tcPr>
            <w:tcW w:w="28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Impala Platinum - Platinum Metals Refinery (PMR)</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South Africa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CID004714</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Elite Industech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CID004755</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A.L.M.T. Corp.</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CID000004</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Caridad</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Mexico</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CID000180</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Cendres + Metaux S.A.</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CID000189</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Yunnan Copper Industry Co., Ltd.</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CID000197</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CID000291</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CID000309</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 Communication</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Daye Non-Ferrous Metals Mining Ltd.</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CID000343</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CID000460</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JSC Novosibirsk Refinery</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CID000493</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 Review</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 Unable to</w:t>
            </w:r>
          </w:p>
        </w:tc>
        <w:tc>
          <w:tcPr>
            <w:tcW w:w="0" w:type="dxa"/>
            <w:vAlign w:val="bottom"/>
          </w:tcPr>
          <w:p>
            <w:pPr>
              <w:spacing w:after="0"/>
              <w:rPr>
                <w:sz w:val="1"/>
                <w:szCs w:val="1"/>
                <w:color w:val="auto"/>
              </w:rPr>
            </w:pPr>
          </w:p>
        </w:tc>
      </w:tr>
      <w:tr>
        <w:trPr>
          <w:trHeight w:val="90"/>
        </w:trPr>
        <w:tc>
          <w:tcPr>
            <w:tcW w:w="1140" w:type="dxa"/>
            <w:vAlign w:val="bottom"/>
            <w:tcBorders>
              <w:left w:val="single" w:sz="8" w:color="auto"/>
              <w:right w:val="single" w:sz="8" w:color="auto"/>
            </w:tcBorders>
          </w:tcPr>
          <w:p>
            <w:pPr>
              <w:spacing w:after="0"/>
              <w:rPr>
                <w:sz w:val="7"/>
                <w:szCs w:val="7"/>
                <w:color w:val="auto"/>
              </w:rPr>
            </w:pPr>
          </w:p>
        </w:tc>
        <w:tc>
          <w:tcPr>
            <w:tcW w:w="4180" w:type="dxa"/>
            <w:vAlign w:val="bottom"/>
            <w:tcBorders>
              <w:right w:val="single" w:sz="8" w:color="auto"/>
            </w:tcBorders>
          </w:tcPr>
          <w:p>
            <w:pPr>
              <w:spacing w:after="0"/>
              <w:rPr>
                <w:sz w:val="7"/>
                <w:szCs w:val="7"/>
                <w:color w:val="auto"/>
              </w:rPr>
            </w:pPr>
          </w:p>
        </w:tc>
        <w:tc>
          <w:tcPr>
            <w:tcW w:w="280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Gejiu Zili Mining And Metallurgy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CID000555</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CID000616</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Hangzhou Fuchunjiang Smelting Co., Ltd.</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CID000671</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CID000767</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Hunan Jintai New Material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CID000769</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211"/>
        </w:trPr>
        <w:tc>
          <w:tcPr>
            <w:tcW w:w="114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Hunan Guiyang yinxing Nonferrous Smelting Co.,</w:t>
            </w:r>
          </w:p>
        </w:tc>
        <w:tc>
          <w:tcPr>
            <w:tcW w:w="2800" w:type="dxa"/>
            <w:vAlign w:val="bottom"/>
            <w:tcBorders>
              <w:top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top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CID000773</w:t>
            </w:r>
          </w:p>
        </w:tc>
        <w:tc>
          <w:tcPr>
            <w:tcW w:w="15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Ltd.</w:t>
            </w: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vMerge w:val="continue"/>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Communication</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HwaSeong CJ CO., LTD.</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CID000778</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Suspended - Not</w:t>
            </w: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Interested</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CID000914</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Jiujiang Tanbre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CID000917</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JSC Ekaterinburg Non-Ferrous Metal Processing Plant</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CID000927</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 Review</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 Unable to</w:t>
            </w:r>
          </w:p>
        </w:tc>
        <w:tc>
          <w:tcPr>
            <w:tcW w:w="0" w:type="dxa"/>
            <w:vAlign w:val="bottom"/>
          </w:tcPr>
          <w:p>
            <w:pPr>
              <w:spacing w:after="0"/>
              <w:rPr>
                <w:sz w:val="1"/>
                <w:szCs w:val="1"/>
                <w:color w:val="auto"/>
              </w:rPr>
            </w:pPr>
          </w:p>
        </w:tc>
      </w:tr>
      <w:tr>
        <w:trPr>
          <w:trHeight w:val="90"/>
        </w:trPr>
        <w:tc>
          <w:tcPr>
            <w:tcW w:w="1140" w:type="dxa"/>
            <w:vAlign w:val="bottom"/>
            <w:tcBorders>
              <w:left w:val="single" w:sz="8" w:color="auto"/>
              <w:right w:val="single" w:sz="8" w:color="auto"/>
            </w:tcBorders>
          </w:tcPr>
          <w:p>
            <w:pPr>
              <w:spacing w:after="0"/>
              <w:rPr>
                <w:sz w:val="7"/>
                <w:szCs w:val="7"/>
                <w:color w:val="auto"/>
              </w:rPr>
            </w:pPr>
          </w:p>
        </w:tc>
        <w:tc>
          <w:tcPr>
            <w:tcW w:w="4180" w:type="dxa"/>
            <w:vAlign w:val="bottom"/>
            <w:tcBorders>
              <w:right w:val="single" w:sz="8" w:color="auto"/>
            </w:tcBorders>
          </w:tcPr>
          <w:p>
            <w:pPr>
              <w:spacing w:after="0"/>
              <w:rPr>
                <w:sz w:val="7"/>
                <w:szCs w:val="7"/>
                <w:color w:val="auto"/>
              </w:rPr>
            </w:pPr>
          </w:p>
        </w:tc>
        <w:tc>
          <w:tcPr>
            <w:tcW w:w="280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JSC Uralelectromed</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CID000929</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 Review</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 Unable to</w:t>
            </w:r>
          </w:p>
        </w:tc>
        <w:tc>
          <w:tcPr>
            <w:tcW w:w="0" w:type="dxa"/>
            <w:vAlign w:val="bottom"/>
          </w:tcPr>
          <w:p>
            <w:pPr>
              <w:spacing w:after="0"/>
              <w:rPr>
                <w:sz w:val="1"/>
                <w:szCs w:val="1"/>
                <w:color w:val="auto"/>
              </w:rPr>
            </w:pPr>
          </w:p>
        </w:tc>
      </w:tr>
      <w:tr>
        <w:trPr>
          <w:trHeight w:val="90"/>
        </w:trPr>
        <w:tc>
          <w:tcPr>
            <w:tcW w:w="1140" w:type="dxa"/>
            <w:vAlign w:val="bottom"/>
            <w:tcBorders>
              <w:left w:val="single" w:sz="8" w:color="auto"/>
              <w:right w:val="single" w:sz="8" w:color="auto"/>
            </w:tcBorders>
          </w:tcPr>
          <w:p>
            <w:pPr>
              <w:spacing w:after="0"/>
              <w:rPr>
                <w:sz w:val="7"/>
                <w:szCs w:val="7"/>
                <w:color w:val="auto"/>
              </w:rPr>
            </w:pPr>
          </w:p>
        </w:tc>
        <w:tc>
          <w:tcPr>
            <w:tcW w:w="4180" w:type="dxa"/>
            <w:vAlign w:val="bottom"/>
            <w:tcBorders>
              <w:right w:val="single" w:sz="8" w:color="auto"/>
            </w:tcBorders>
          </w:tcPr>
          <w:p>
            <w:pPr>
              <w:spacing w:after="0"/>
              <w:rPr>
                <w:sz w:val="7"/>
                <w:szCs w:val="7"/>
                <w:color w:val="auto"/>
              </w:rPr>
            </w:pPr>
          </w:p>
        </w:tc>
        <w:tc>
          <w:tcPr>
            <w:tcW w:w="280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CID000942</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Kazakhmys Smelting LLC</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Kazakhstan</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CID000956</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Kennametal Fallon</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CID000966</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Kyrgyzaltyn JSC</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Kyrgyzstan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CID001029</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Lingbao Gold Co., Ltd.</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CID001056</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AMG Brasil</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CID001076</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Luoyang Zijin Yinhui Gold Refinery Co., Ltd.</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CID001093</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CID001163</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Mineracao Taboca S.A.</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CID001175</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CID001192</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NPM Silmet AS</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Estonia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CID001200</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Moscow Special Alloys Processing Plant</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CID001204</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 Review</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 Unable to</w:t>
            </w:r>
          </w:p>
        </w:tc>
        <w:tc>
          <w:tcPr>
            <w:tcW w:w="0" w:type="dxa"/>
            <w:vAlign w:val="bottom"/>
          </w:tcPr>
          <w:p>
            <w:pPr>
              <w:spacing w:after="0"/>
              <w:rPr>
                <w:sz w:val="1"/>
                <w:szCs w:val="1"/>
                <w:color w:val="auto"/>
              </w:rPr>
            </w:pPr>
          </w:p>
        </w:tc>
      </w:tr>
      <w:tr>
        <w:trPr>
          <w:trHeight w:val="90"/>
        </w:trPr>
        <w:tc>
          <w:tcPr>
            <w:tcW w:w="1140" w:type="dxa"/>
            <w:vAlign w:val="bottom"/>
            <w:tcBorders>
              <w:left w:val="single" w:sz="8" w:color="auto"/>
              <w:right w:val="single" w:sz="8" w:color="auto"/>
            </w:tcBorders>
          </w:tcPr>
          <w:p>
            <w:pPr>
              <w:spacing w:after="0"/>
              <w:rPr>
                <w:sz w:val="7"/>
                <w:szCs w:val="7"/>
                <w:color w:val="auto"/>
              </w:rPr>
            </w:pPr>
          </w:p>
        </w:tc>
        <w:tc>
          <w:tcPr>
            <w:tcW w:w="4180" w:type="dxa"/>
            <w:vAlign w:val="bottom"/>
            <w:tcBorders>
              <w:right w:val="single" w:sz="8" w:color="auto"/>
            </w:tcBorders>
          </w:tcPr>
          <w:p>
            <w:pPr>
              <w:spacing w:after="0"/>
              <w:rPr>
                <w:sz w:val="7"/>
                <w:szCs w:val="7"/>
                <w:color w:val="auto"/>
              </w:rPr>
            </w:pPr>
          </w:p>
        </w:tc>
        <w:tc>
          <w:tcPr>
            <w:tcW w:w="280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CID001231</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Active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229"/>
        </w:trPr>
        <w:tc>
          <w:tcPr>
            <w:tcW w:w="11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2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CID001277</w:t>
            </w:r>
          </w:p>
        </w:tc>
        <w:tc>
          <w:tcPr>
            <w:tcW w:w="156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Novosibirsk Tin Combine</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CID001305</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 Review</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 Unable to</w:t>
            </w:r>
          </w:p>
        </w:tc>
        <w:tc>
          <w:tcPr>
            <w:tcW w:w="0" w:type="dxa"/>
            <w:vAlign w:val="bottom"/>
          </w:tcPr>
          <w:p>
            <w:pPr>
              <w:spacing w:after="0"/>
              <w:rPr>
                <w:sz w:val="1"/>
                <w:szCs w:val="1"/>
                <w:color w:val="auto"/>
              </w:rPr>
            </w:pPr>
          </w:p>
        </w:tc>
      </w:tr>
      <w:tr>
        <w:trPr>
          <w:trHeight w:val="90"/>
        </w:trPr>
        <w:tc>
          <w:tcPr>
            <w:tcW w:w="1140" w:type="dxa"/>
            <w:vAlign w:val="bottom"/>
            <w:tcBorders>
              <w:left w:val="single" w:sz="8" w:color="auto"/>
              <w:right w:val="single" w:sz="8" w:color="auto"/>
            </w:tcBorders>
          </w:tcPr>
          <w:p>
            <w:pPr>
              <w:spacing w:after="0"/>
              <w:rPr>
                <w:sz w:val="7"/>
                <w:szCs w:val="7"/>
                <w:color w:val="auto"/>
              </w:rPr>
            </w:pPr>
          </w:p>
        </w:tc>
        <w:tc>
          <w:tcPr>
            <w:tcW w:w="4180" w:type="dxa"/>
            <w:vAlign w:val="bottom"/>
            <w:tcBorders>
              <w:right w:val="single" w:sz="8" w:color="auto"/>
            </w:tcBorders>
          </w:tcPr>
          <w:p>
            <w:pPr>
              <w:spacing w:after="0"/>
              <w:rPr>
                <w:sz w:val="7"/>
                <w:szCs w:val="7"/>
                <w:color w:val="auto"/>
              </w:rPr>
            </w:pPr>
          </w:p>
        </w:tc>
        <w:tc>
          <w:tcPr>
            <w:tcW w:w="280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OJSC "The Gulidov Krasnoyarsk Non-Ferrous Metals</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CID001326</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 Review</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Plant" (OJSC Krastsvetmet)</w:t>
            </w: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 Unable to</w:t>
            </w:r>
          </w:p>
        </w:tc>
        <w:tc>
          <w:tcPr>
            <w:tcW w:w="0" w:type="dxa"/>
            <w:vAlign w:val="bottom"/>
          </w:tcPr>
          <w:p>
            <w:pPr>
              <w:spacing w:after="0"/>
              <w:rPr>
                <w:sz w:val="1"/>
                <w:szCs w:val="1"/>
                <w:color w:val="auto"/>
              </w:rPr>
            </w:pPr>
          </w:p>
        </w:tc>
      </w:tr>
      <w:tr>
        <w:trPr>
          <w:trHeight w:val="90"/>
        </w:trPr>
        <w:tc>
          <w:tcPr>
            <w:tcW w:w="1140" w:type="dxa"/>
            <w:vAlign w:val="bottom"/>
            <w:tcBorders>
              <w:left w:val="single" w:sz="8" w:color="auto"/>
              <w:right w:val="single" w:sz="8" w:color="auto"/>
            </w:tcBorders>
          </w:tcPr>
          <w:p>
            <w:pPr>
              <w:spacing w:after="0"/>
              <w:rPr>
                <w:sz w:val="7"/>
                <w:szCs w:val="7"/>
                <w:color w:val="auto"/>
              </w:rPr>
            </w:pPr>
          </w:p>
        </w:tc>
        <w:tc>
          <w:tcPr>
            <w:tcW w:w="4180" w:type="dxa"/>
            <w:vAlign w:val="bottom"/>
            <w:tcBorders>
              <w:right w:val="single" w:sz="8" w:color="auto"/>
            </w:tcBorders>
            <w:vMerge w:val="continue"/>
          </w:tcPr>
          <w:p>
            <w:pPr>
              <w:spacing w:after="0"/>
              <w:rPr>
                <w:sz w:val="7"/>
                <w:szCs w:val="7"/>
                <w:color w:val="auto"/>
              </w:rPr>
            </w:pPr>
          </w:p>
        </w:tc>
        <w:tc>
          <w:tcPr>
            <w:tcW w:w="280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Penglai Penggang Gold Industry Co., Ltd.</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CID001362</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Prioksky Plant of Non-Ferrous Metals</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CID001386</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 Review</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 Unable to</w:t>
            </w:r>
          </w:p>
        </w:tc>
        <w:tc>
          <w:tcPr>
            <w:tcW w:w="0" w:type="dxa"/>
            <w:vAlign w:val="bottom"/>
          </w:tcPr>
          <w:p>
            <w:pPr>
              <w:spacing w:after="0"/>
              <w:rPr>
                <w:sz w:val="1"/>
                <w:szCs w:val="1"/>
                <w:color w:val="auto"/>
              </w:rPr>
            </w:pPr>
          </w:p>
        </w:tc>
      </w:tr>
      <w:tr>
        <w:trPr>
          <w:trHeight w:val="90"/>
        </w:trPr>
        <w:tc>
          <w:tcPr>
            <w:tcW w:w="1140" w:type="dxa"/>
            <w:vAlign w:val="bottom"/>
            <w:tcBorders>
              <w:left w:val="single" w:sz="8" w:color="auto"/>
              <w:right w:val="single" w:sz="8" w:color="auto"/>
            </w:tcBorders>
          </w:tcPr>
          <w:p>
            <w:pPr>
              <w:spacing w:after="0"/>
              <w:rPr>
                <w:sz w:val="7"/>
                <w:szCs w:val="7"/>
                <w:color w:val="auto"/>
              </w:rPr>
            </w:pPr>
          </w:p>
        </w:tc>
        <w:tc>
          <w:tcPr>
            <w:tcW w:w="4180" w:type="dxa"/>
            <w:vAlign w:val="bottom"/>
            <w:tcBorders>
              <w:right w:val="single" w:sz="8" w:color="auto"/>
            </w:tcBorders>
          </w:tcPr>
          <w:p>
            <w:pPr>
              <w:spacing w:after="0"/>
              <w:rPr>
                <w:sz w:val="7"/>
                <w:szCs w:val="7"/>
                <w:color w:val="auto"/>
              </w:rPr>
            </w:pPr>
          </w:p>
        </w:tc>
        <w:tc>
          <w:tcPr>
            <w:tcW w:w="280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Artha Cipta Langgeng</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CID001399</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Active</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CID001522</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Communication</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Sabin Metal Corp.</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CID001546</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Suspended - Not</w:t>
            </w: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Interested</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Samduck Precious Metals</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CID001555</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Communication</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Samwon Metals Corp.</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CID001562</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Suspended - Not</w:t>
            </w: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Interested</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Shandong Tiancheng Biological Gold Industrial Co.,</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CID001619</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Ltd.</w:t>
            </w: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vMerge w:val="continue"/>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SOE Shyolkovsky Factory of Secondary Precious</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CID001756</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 Review</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Metals</w:t>
            </w: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 Unable to</w:t>
            </w:r>
          </w:p>
        </w:tc>
        <w:tc>
          <w:tcPr>
            <w:tcW w:w="0" w:type="dxa"/>
            <w:vAlign w:val="bottom"/>
          </w:tcPr>
          <w:p>
            <w:pPr>
              <w:spacing w:after="0"/>
              <w:rPr>
                <w:sz w:val="1"/>
                <w:szCs w:val="1"/>
                <w:color w:val="auto"/>
              </w:rPr>
            </w:pPr>
          </w:p>
        </w:tc>
      </w:tr>
      <w:tr>
        <w:trPr>
          <w:trHeight w:val="90"/>
        </w:trPr>
        <w:tc>
          <w:tcPr>
            <w:tcW w:w="1140" w:type="dxa"/>
            <w:vAlign w:val="bottom"/>
            <w:tcBorders>
              <w:left w:val="single" w:sz="8" w:color="auto"/>
              <w:right w:val="single" w:sz="8" w:color="auto"/>
            </w:tcBorders>
          </w:tcPr>
          <w:p>
            <w:pPr>
              <w:spacing w:after="0"/>
              <w:rPr>
                <w:sz w:val="7"/>
                <w:szCs w:val="7"/>
                <w:color w:val="auto"/>
              </w:rPr>
            </w:pPr>
          </w:p>
        </w:tc>
        <w:tc>
          <w:tcPr>
            <w:tcW w:w="4180" w:type="dxa"/>
            <w:vAlign w:val="bottom"/>
            <w:tcBorders>
              <w:right w:val="single" w:sz="8" w:color="auto"/>
            </w:tcBorders>
            <w:vMerge w:val="continue"/>
          </w:tcPr>
          <w:p>
            <w:pPr>
              <w:spacing w:after="0"/>
              <w:rPr>
                <w:sz w:val="7"/>
                <w:szCs w:val="7"/>
                <w:color w:val="auto"/>
              </w:rPr>
            </w:pPr>
          </w:p>
        </w:tc>
        <w:tc>
          <w:tcPr>
            <w:tcW w:w="280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Solikamsk Magnesium Works OAO</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CID001769</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 Review</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 Unable to</w:t>
            </w:r>
          </w:p>
        </w:tc>
        <w:tc>
          <w:tcPr>
            <w:tcW w:w="0" w:type="dxa"/>
            <w:vAlign w:val="bottom"/>
          </w:tcPr>
          <w:p>
            <w:pPr>
              <w:spacing w:after="0"/>
              <w:rPr>
                <w:sz w:val="1"/>
                <w:szCs w:val="1"/>
                <w:color w:val="auto"/>
              </w:rPr>
            </w:pPr>
          </w:p>
        </w:tc>
      </w:tr>
      <w:tr>
        <w:trPr>
          <w:trHeight w:val="90"/>
        </w:trPr>
        <w:tc>
          <w:tcPr>
            <w:tcW w:w="1140" w:type="dxa"/>
            <w:vAlign w:val="bottom"/>
            <w:tcBorders>
              <w:left w:val="single" w:sz="8" w:color="auto"/>
              <w:right w:val="single" w:sz="8" w:color="auto"/>
            </w:tcBorders>
          </w:tcPr>
          <w:p>
            <w:pPr>
              <w:spacing w:after="0"/>
              <w:rPr>
                <w:sz w:val="7"/>
                <w:szCs w:val="7"/>
                <w:color w:val="auto"/>
              </w:rPr>
            </w:pPr>
          </w:p>
        </w:tc>
        <w:tc>
          <w:tcPr>
            <w:tcW w:w="4180" w:type="dxa"/>
            <w:vAlign w:val="bottom"/>
            <w:tcBorders>
              <w:right w:val="single" w:sz="8" w:color="auto"/>
            </w:tcBorders>
          </w:tcPr>
          <w:p>
            <w:pPr>
              <w:spacing w:after="0"/>
              <w:rPr>
                <w:sz w:val="7"/>
                <w:szCs w:val="7"/>
                <w:color w:val="auto"/>
              </w:rPr>
            </w:pPr>
          </w:p>
        </w:tc>
        <w:tc>
          <w:tcPr>
            <w:tcW w:w="280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Super Dragon Technology Co., Ltd.</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CID001810</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21" w:name="page22"/>
    <w:bookmarkEnd w:id="21"/>
    <w:tbl>
      <w:tblPr>
        <w:tblLayout w:type="fixed"/>
        <w:tblInd w:w="10" w:type="dxa"/>
        <w:tblCellMar>
          <w:top w:w="0" w:type="dxa"/>
          <w:left w:w="0" w:type="dxa"/>
          <w:bottom w:w="0" w:type="dxa"/>
          <w:right w:w="0" w:type="dxa"/>
        </w:tblCellMar>
      </w:tblPr>
      <w:tr>
        <w:trPr>
          <w:trHeight w:val="229"/>
        </w:trPr>
        <w:tc>
          <w:tcPr>
            <w:tcW w:w="11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Taki Chemical Co., Ltd.</w:t>
            </w:r>
          </w:p>
        </w:tc>
        <w:tc>
          <w:tcPr>
            <w:tcW w:w="2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CID001869</w:t>
            </w:r>
          </w:p>
        </w:tc>
        <w:tc>
          <w:tcPr>
            <w:tcW w:w="156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Telex Metals</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CID001891</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Gejiu Yunxin Nonferrous Electrolysis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CID001908</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Great Wall Precious Metals Co., Ltd. of CBPM</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CID001909</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Tongling Nonferrous Metals Group Co., Ltd.</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CID001947</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Torecom</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CID001955</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Kazakhstan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CID001969</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Viet Nam</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CID002015</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 Refinery of Zijin Mining Group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CID002243</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Morris and Watson</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New Zealand</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CID002282</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Jiangxi Minmetals Gao'an Non-ferrous Metals Co.,</w:t>
            </w:r>
          </w:p>
        </w:tc>
        <w:tc>
          <w:tcPr>
            <w:tcW w:w="28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Communication</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right w:val="single" w:sz="8" w:color="auto"/>
            </w:tcBorders>
            <w:vMerge w:val="continue"/>
          </w:tcPr>
          <w:p>
            <w:pPr>
              <w:spacing w:after="0"/>
              <w:rPr>
                <w:sz w:val="9"/>
                <w:szCs w:val="9"/>
                <w:color w:val="auto"/>
              </w:rPr>
            </w:pP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CID002313</w:t>
            </w: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Suspended - Not</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right w:val="single" w:sz="8" w:color="auto"/>
            </w:tcBorders>
            <w:vMerge w:val="continue"/>
          </w:tcPr>
          <w:p>
            <w:pPr>
              <w:spacing w:after="0"/>
              <w:rPr>
                <w:sz w:val="9"/>
                <w:szCs w:val="9"/>
                <w:color w:val="auto"/>
              </w:rPr>
            </w:pP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Ltd.</w:t>
            </w:r>
          </w:p>
        </w:tc>
        <w:tc>
          <w:tcPr>
            <w:tcW w:w="2800" w:type="dxa"/>
            <w:vAlign w:val="bottom"/>
            <w:tcBorders>
              <w:right w:val="single" w:sz="8" w:color="auto"/>
            </w:tcBorders>
            <w:vMerge w:val="continue"/>
          </w:tcPr>
          <w:p>
            <w:pPr>
              <w:spacing w:after="0"/>
              <w:rPr>
                <w:sz w:val="9"/>
                <w:szCs w:val="9"/>
                <w:color w:val="auto"/>
              </w:rPr>
            </w:pPr>
          </w:p>
        </w:tc>
        <w:tc>
          <w:tcPr>
            <w:tcW w:w="1560" w:type="dxa"/>
            <w:vAlign w:val="bottom"/>
            <w:tcBorders>
              <w:right w:val="single" w:sz="8" w:color="auto"/>
            </w:tcBorders>
            <w:vMerge w:val="continue"/>
          </w:tcPr>
          <w:p>
            <w:pPr>
              <w:spacing w:after="0"/>
              <w:rPr>
                <w:sz w:val="9"/>
                <w:szCs w:val="9"/>
                <w:color w:val="auto"/>
              </w:rPr>
            </w:pPr>
          </w:p>
        </w:tc>
        <w:tc>
          <w:tcPr>
            <w:tcW w:w="1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tcPr>
          <w:p>
            <w:pPr>
              <w:spacing w:after="0"/>
              <w:rPr>
                <w:sz w:val="10"/>
                <w:szCs w:val="10"/>
                <w:color w:val="auto"/>
              </w:rPr>
            </w:pPr>
          </w:p>
        </w:tc>
        <w:tc>
          <w:tcPr>
            <w:tcW w:w="1560" w:type="dxa"/>
            <w:vAlign w:val="bottom"/>
            <w:tcBorders>
              <w:right w:val="single" w:sz="8" w:color="auto"/>
            </w:tcBorders>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Interested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Thailand</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CID002314</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CID002315</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CID002316</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CID002317</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CID002319</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CID002321</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CID002492</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22" w:name="page23"/>
    <w:bookmarkEnd w:id="22"/>
    <w:tbl>
      <w:tblPr>
        <w:tblLayout w:type="fixed"/>
        <w:tblInd w:w="10" w:type="dxa"/>
        <w:tblCellMar>
          <w:top w:w="0" w:type="dxa"/>
          <w:left w:w="0" w:type="dxa"/>
          <w:bottom w:w="0" w:type="dxa"/>
          <w:right w:w="0" w:type="dxa"/>
        </w:tblCellMar>
      </w:tblPr>
      <w:tr>
        <w:trPr>
          <w:trHeight w:val="229"/>
        </w:trPr>
        <w:tc>
          <w:tcPr>
            <w:tcW w:w="11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2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CID002494</w:t>
            </w:r>
          </w:p>
        </w:tc>
        <w:tc>
          <w:tcPr>
            <w:tcW w:w="156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Melt Metais e Ligas S.A.</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CID002500</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Viet Nam</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CID002502</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 Block Metals, LLC</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CID002504</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CID002505</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CID002506</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CID002508</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CID002512</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Hunan Shizhuyuan Nonferrous Metals Co., Ltd.</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CID002513</w:t>
            </w: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Chenzhou Tungsten Products Branch</w:t>
            </w: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vMerge w:val="continue"/>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Fidelity Printers and Refiners Ltd.</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Zimbabwe</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CID002515</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 Review</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 Unable to</w:t>
            </w:r>
          </w:p>
        </w:tc>
        <w:tc>
          <w:tcPr>
            <w:tcW w:w="0" w:type="dxa"/>
            <w:vAlign w:val="bottom"/>
          </w:tcPr>
          <w:p>
            <w:pPr>
              <w:spacing w:after="0"/>
              <w:rPr>
                <w:sz w:val="1"/>
                <w:szCs w:val="1"/>
                <w:color w:val="auto"/>
              </w:rPr>
            </w:pPr>
          </w:p>
        </w:tc>
      </w:tr>
      <w:tr>
        <w:trPr>
          <w:trHeight w:val="90"/>
        </w:trPr>
        <w:tc>
          <w:tcPr>
            <w:tcW w:w="1140" w:type="dxa"/>
            <w:vAlign w:val="bottom"/>
            <w:tcBorders>
              <w:left w:val="single" w:sz="8" w:color="auto"/>
              <w:right w:val="single" w:sz="8" w:color="auto"/>
            </w:tcBorders>
          </w:tcPr>
          <w:p>
            <w:pPr>
              <w:spacing w:after="0"/>
              <w:rPr>
                <w:sz w:val="7"/>
                <w:szCs w:val="7"/>
                <w:color w:val="auto"/>
              </w:rPr>
            </w:pPr>
          </w:p>
        </w:tc>
        <w:tc>
          <w:tcPr>
            <w:tcW w:w="4180" w:type="dxa"/>
            <w:vAlign w:val="bottom"/>
            <w:tcBorders>
              <w:right w:val="single" w:sz="8" w:color="auto"/>
            </w:tcBorders>
          </w:tcPr>
          <w:p>
            <w:pPr>
              <w:spacing w:after="0"/>
              <w:rPr>
                <w:sz w:val="7"/>
                <w:szCs w:val="7"/>
                <w:color w:val="auto"/>
              </w:rPr>
            </w:pPr>
          </w:p>
        </w:tc>
        <w:tc>
          <w:tcPr>
            <w:tcW w:w="280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Singway Technology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CID002516</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Shandong Humon Smelting Co., Ltd.</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CID002525</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Shenzhen Zhonghenglong Real Industry Co., Ltd.</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CID002527</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KEMET de Mexico</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Mexico</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CID002539</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TANIOBIS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Thailand</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CID002544</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TANIOBIS GmbH</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CID002545</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Materion Newton Inc.</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CID002548</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TANIOBIS Japan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CID002549</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23" w:name="page24"/>
    <w:bookmarkEnd w:id="23"/>
    <w:tbl>
      <w:tblPr>
        <w:tblLayout w:type="fixed"/>
        <w:tblInd w:w="10" w:type="dxa"/>
        <w:tblCellMar>
          <w:top w:w="0" w:type="dxa"/>
          <w:left w:w="0" w:type="dxa"/>
          <w:bottom w:w="0" w:type="dxa"/>
          <w:right w:w="0" w:type="dxa"/>
        </w:tblCellMar>
      </w:tblPr>
      <w:tr>
        <w:trPr>
          <w:trHeight w:val="229"/>
        </w:trPr>
        <w:tc>
          <w:tcPr>
            <w:tcW w:w="11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2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56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CID002550</w:t>
            </w:r>
          </w:p>
        </w:tc>
        <w:tc>
          <w:tcPr>
            <w:tcW w:w="156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CID002557</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CID002558</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 Etihad Gold Refinery DMCC</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Arab Emirates</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CID002560</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Emirates Gold DMCC</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Arab Emirates</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CID002561</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International Precious Metal Refiners</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United Arab Emirates</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CID002562</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Electro-Mechanical Facility of the Cao Bang Minerals</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Viet Nam</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CID002572</w:t>
            </w: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&amp; Metallurgy Joint Stock Company</w:t>
            </w: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vMerge w:val="continue"/>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Nghe Tinh Non-Ferrous Metals Joint Stock Company</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Viet Nam</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CID002573</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Fujairah Gold FZC</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United Arab Emirates</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CID002584</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Shirpur Gold Refinery Ltd.</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CID002588</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Marsam Metals</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CID002606</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CID002641</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Hydrometallurg, JSC</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CID002649</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 Review</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 Unable to</w:t>
            </w:r>
          </w:p>
        </w:tc>
        <w:tc>
          <w:tcPr>
            <w:tcW w:w="0" w:type="dxa"/>
            <w:vAlign w:val="bottom"/>
          </w:tcPr>
          <w:p>
            <w:pPr>
              <w:spacing w:after="0"/>
              <w:rPr>
                <w:sz w:val="1"/>
                <w:szCs w:val="1"/>
                <w:color w:val="auto"/>
              </w:rPr>
            </w:pPr>
          </w:p>
        </w:tc>
      </w:tr>
      <w:tr>
        <w:trPr>
          <w:trHeight w:val="90"/>
        </w:trPr>
        <w:tc>
          <w:tcPr>
            <w:tcW w:w="1140" w:type="dxa"/>
            <w:vAlign w:val="bottom"/>
            <w:tcBorders>
              <w:left w:val="single" w:sz="8" w:color="auto"/>
              <w:right w:val="single" w:sz="8" w:color="auto"/>
            </w:tcBorders>
          </w:tcPr>
          <w:p>
            <w:pPr>
              <w:spacing w:after="0"/>
              <w:rPr>
                <w:sz w:val="7"/>
                <w:szCs w:val="7"/>
                <w:color w:val="auto"/>
              </w:rPr>
            </w:pPr>
          </w:p>
        </w:tc>
        <w:tc>
          <w:tcPr>
            <w:tcW w:w="4180" w:type="dxa"/>
            <w:vAlign w:val="bottom"/>
            <w:tcBorders>
              <w:right w:val="single" w:sz="8" w:color="auto"/>
            </w:tcBorders>
          </w:tcPr>
          <w:p>
            <w:pPr>
              <w:spacing w:after="0"/>
              <w:rPr>
                <w:sz w:val="7"/>
                <w:szCs w:val="7"/>
                <w:color w:val="auto"/>
              </w:rPr>
            </w:pPr>
          </w:p>
        </w:tc>
        <w:tc>
          <w:tcPr>
            <w:tcW w:w="280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Viet Nam</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CID002703</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CID002707</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Unecha Refractory metals plant</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CID002724</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Shenzhen CuiLu Gold Co., Ltd.</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CID002750</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Albino Mountinho Lda.</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Portugal</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CID002760</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SAAMP</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France</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CID002761</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L'Orfebre S.A.</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Andorra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CID002762</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4" w:name="page25"/>
    <w:bookmarkEnd w:id="24"/>
    <w:tbl>
      <w:tblPr>
        <w:tblLayout w:type="fixed"/>
        <w:tblInd w:w="10" w:type="dxa"/>
        <w:tblCellMar>
          <w:top w:w="0" w:type="dxa"/>
          <w:left w:w="0" w:type="dxa"/>
          <w:bottom w:w="0" w:type="dxa"/>
          <w:right w:w="0" w:type="dxa"/>
        </w:tblCellMar>
      </w:tblPr>
      <w:tr>
        <w:trPr>
          <w:trHeight w:val="229"/>
        </w:trPr>
        <w:tc>
          <w:tcPr>
            <w:tcW w:w="11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8853 S.p.A.</w:t>
            </w:r>
          </w:p>
        </w:tc>
        <w:tc>
          <w:tcPr>
            <w:tcW w:w="2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Italy</w:t>
            </w:r>
          </w:p>
        </w:tc>
        <w:tc>
          <w:tcPr>
            <w:tcW w:w="156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CID002763</w:t>
            </w:r>
          </w:p>
        </w:tc>
        <w:tc>
          <w:tcPr>
            <w:tcW w:w="156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Ogussa Osterreichische Gold- und Silber-</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Austria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CID002779</w:t>
            </w: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Active</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Scheideanstalt GmbH</w:t>
            </w: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vMerge w:val="continue"/>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CID002842</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Moliren Ltd.</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CID002845</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 Review</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 Unable to</w:t>
            </w:r>
          </w:p>
        </w:tc>
        <w:tc>
          <w:tcPr>
            <w:tcW w:w="0" w:type="dxa"/>
            <w:vAlign w:val="bottom"/>
          </w:tcPr>
          <w:p>
            <w:pPr>
              <w:spacing w:after="0"/>
              <w:rPr>
                <w:sz w:val="1"/>
                <w:szCs w:val="1"/>
                <w:color w:val="auto"/>
              </w:rPr>
            </w:pPr>
          </w:p>
        </w:tc>
      </w:tr>
      <w:tr>
        <w:trPr>
          <w:trHeight w:val="90"/>
        </w:trPr>
        <w:tc>
          <w:tcPr>
            <w:tcW w:w="1140" w:type="dxa"/>
            <w:vAlign w:val="bottom"/>
            <w:tcBorders>
              <w:left w:val="single" w:sz="8" w:color="auto"/>
              <w:right w:val="single" w:sz="8" w:color="auto"/>
            </w:tcBorders>
          </w:tcPr>
          <w:p>
            <w:pPr>
              <w:spacing w:after="0"/>
              <w:rPr>
                <w:sz w:val="7"/>
                <w:szCs w:val="7"/>
                <w:color w:val="auto"/>
              </w:rPr>
            </w:pPr>
          </w:p>
        </w:tc>
        <w:tc>
          <w:tcPr>
            <w:tcW w:w="4180" w:type="dxa"/>
            <w:vAlign w:val="bottom"/>
            <w:tcBorders>
              <w:right w:val="single" w:sz="8" w:color="auto"/>
            </w:tcBorders>
          </w:tcPr>
          <w:p>
            <w:pPr>
              <w:spacing w:after="0"/>
              <w:rPr>
                <w:sz w:val="7"/>
                <w:szCs w:val="7"/>
                <w:color w:val="auto"/>
              </w:rPr>
            </w:pPr>
          </w:p>
        </w:tc>
        <w:tc>
          <w:tcPr>
            <w:tcW w:w="280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 Traders and Refiners</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South Africa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CID002850</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GGC Gujrat Gold Centre Pvt.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CID002852</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Modeltech Sdn Bhd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Malaysia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CID002857</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Modeltech Sdn Bhd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Malaysia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CID002858</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Bangalore Refinery</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CID002863</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Kyshtym Copper-Electrolytic Plant ZAO</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CID002865</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 Review</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 Unable to</w:t>
            </w:r>
          </w:p>
        </w:tc>
        <w:tc>
          <w:tcPr>
            <w:tcW w:w="0" w:type="dxa"/>
            <w:vAlign w:val="bottom"/>
          </w:tcPr>
          <w:p>
            <w:pPr>
              <w:spacing w:after="0"/>
              <w:rPr>
                <w:sz w:val="1"/>
                <w:szCs w:val="1"/>
                <w:color w:val="auto"/>
              </w:rPr>
            </w:pPr>
          </w:p>
        </w:tc>
      </w:tr>
      <w:tr>
        <w:trPr>
          <w:trHeight w:val="90"/>
        </w:trPr>
        <w:tc>
          <w:tcPr>
            <w:tcW w:w="1140" w:type="dxa"/>
            <w:vAlign w:val="bottom"/>
            <w:tcBorders>
              <w:left w:val="single" w:sz="8" w:color="auto"/>
              <w:right w:val="single" w:sz="8" w:color="auto"/>
            </w:tcBorders>
          </w:tcPr>
          <w:p>
            <w:pPr>
              <w:spacing w:after="0"/>
              <w:rPr>
                <w:sz w:val="7"/>
                <w:szCs w:val="7"/>
                <w:color w:val="auto"/>
              </w:rPr>
            </w:pPr>
          </w:p>
        </w:tc>
        <w:tc>
          <w:tcPr>
            <w:tcW w:w="4180" w:type="dxa"/>
            <w:vAlign w:val="bottom"/>
            <w:tcBorders>
              <w:right w:val="single" w:sz="8" w:color="auto"/>
            </w:tcBorders>
          </w:tcPr>
          <w:p>
            <w:pPr>
              <w:spacing w:after="0"/>
              <w:rPr>
                <w:sz w:val="7"/>
                <w:szCs w:val="7"/>
                <w:color w:val="auto"/>
              </w:rPr>
            </w:pPr>
          </w:p>
        </w:tc>
        <w:tc>
          <w:tcPr>
            <w:tcW w:w="280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Degussa Sonne / Mond Goldhandel GmbH</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CID002867</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Communication</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Pease &amp; Curren</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CID002872</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Suspended - Not</w:t>
            </w: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Interested</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JALAN &amp; Company</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CID002893</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ABC Refinery Pty Ltd.</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Australia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CID002920</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Safimet S.p.A</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Italy</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CID002973</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State Research Institute Center for Physical Sciences</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Lithuania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CID003153</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and Technology</w:t>
            </w: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vMerge w:val="continue"/>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African Gold Refinery</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Uganda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CID003185</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 Review</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 Unable to</w:t>
            </w:r>
          </w:p>
        </w:tc>
        <w:tc>
          <w:tcPr>
            <w:tcW w:w="0" w:type="dxa"/>
            <w:vAlign w:val="bottom"/>
          </w:tcPr>
          <w:p>
            <w:pPr>
              <w:spacing w:after="0"/>
              <w:rPr>
                <w:sz w:val="1"/>
                <w:szCs w:val="1"/>
                <w:color w:val="auto"/>
              </w:rPr>
            </w:pPr>
          </w:p>
        </w:tc>
      </w:tr>
      <w:tr>
        <w:trPr>
          <w:trHeight w:val="90"/>
        </w:trPr>
        <w:tc>
          <w:tcPr>
            <w:tcW w:w="1140" w:type="dxa"/>
            <w:vAlign w:val="bottom"/>
            <w:tcBorders>
              <w:left w:val="single" w:sz="8" w:color="auto"/>
              <w:right w:val="single" w:sz="8" w:color="auto"/>
            </w:tcBorders>
          </w:tcPr>
          <w:p>
            <w:pPr>
              <w:spacing w:after="0"/>
              <w:rPr>
                <w:sz w:val="7"/>
                <w:szCs w:val="7"/>
                <w:color w:val="auto"/>
              </w:rPr>
            </w:pPr>
          </w:p>
        </w:tc>
        <w:tc>
          <w:tcPr>
            <w:tcW w:w="4180" w:type="dxa"/>
            <w:vAlign w:val="bottom"/>
            <w:tcBorders>
              <w:right w:val="single" w:sz="8" w:color="auto"/>
            </w:tcBorders>
          </w:tcPr>
          <w:p>
            <w:pPr>
              <w:spacing w:after="0"/>
              <w:rPr>
                <w:sz w:val="7"/>
                <w:szCs w:val="7"/>
                <w:color w:val="auto"/>
              </w:rPr>
            </w:pPr>
          </w:p>
        </w:tc>
        <w:tc>
          <w:tcPr>
            <w:tcW w:w="280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Gold Coast Refinery</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Ghana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CID003186</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QG Refining, LLC</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CID003324</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Dijllah Gold Refinery FZC</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United Arab Emirates</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CID003348</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5" w:name="page26"/>
    <w:bookmarkEnd w:id="25"/>
    <w:tbl>
      <w:tblPr>
        <w:tblLayout w:type="fixed"/>
        <w:tblInd w:w="10" w:type="dxa"/>
        <w:tblCellMar>
          <w:top w:w="0" w:type="dxa"/>
          <w:left w:w="0" w:type="dxa"/>
          <w:bottom w:w="0" w:type="dxa"/>
          <w:right w:w="0" w:type="dxa"/>
        </w:tblCellMar>
      </w:tblPr>
      <w:tr>
        <w:trPr>
          <w:trHeight w:val="211"/>
        </w:trPr>
        <w:tc>
          <w:tcPr>
            <w:tcW w:w="114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Dongguan CiEXPO Environmental Engineering Co.,</w:t>
            </w:r>
          </w:p>
        </w:tc>
        <w:tc>
          <w:tcPr>
            <w:tcW w:w="2800" w:type="dxa"/>
            <w:vAlign w:val="bottom"/>
            <w:tcBorders>
              <w:top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top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CID003356</w:t>
            </w:r>
          </w:p>
        </w:tc>
        <w:tc>
          <w:tcPr>
            <w:tcW w:w="1560" w:type="dxa"/>
            <w:vAlign w:val="bottom"/>
            <w:tcBorders>
              <w:top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Ltd.</w:t>
            </w: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vMerge w:val="continue"/>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CID003379</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Masbro Alam Stania</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CID003380</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CGR Metalloys Pvt Ltd.</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CID003382</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Sovereign Metals</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CID003383</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Luna Smelter,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Rwanda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CID003387</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Lianyou Metals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CID003407</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JSC "Kirovgrad Hard Alloys Plant"</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CID003408</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 Review</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 Unable to</w:t>
            </w:r>
          </w:p>
        </w:tc>
        <w:tc>
          <w:tcPr>
            <w:tcW w:w="0" w:type="dxa"/>
            <w:vAlign w:val="bottom"/>
          </w:tcPr>
          <w:p>
            <w:pPr>
              <w:spacing w:after="0"/>
              <w:rPr>
                <w:sz w:val="1"/>
                <w:szCs w:val="1"/>
                <w:color w:val="auto"/>
              </w:rPr>
            </w:pPr>
          </w:p>
        </w:tc>
      </w:tr>
      <w:tr>
        <w:trPr>
          <w:trHeight w:val="90"/>
        </w:trPr>
        <w:tc>
          <w:tcPr>
            <w:tcW w:w="1140" w:type="dxa"/>
            <w:vAlign w:val="bottom"/>
            <w:tcBorders>
              <w:left w:val="single" w:sz="8" w:color="auto"/>
              <w:right w:val="single" w:sz="8" w:color="auto"/>
            </w:tcBorders>
          </w:tcPr>
          <w:p>
            <w:pPr>
              <w:spacing w:after="0"/>
              <w:rPr>
                <w:sz w:val="7"/>
                <w:szCs w:val="7"/>
                <w:color w:val="auto"/>
              </w:rPr>
            </w:pPr>
          </w:p>
        </w:tc>
        <w:tc>
          <w:tcPr>
            <w:tcW w:w="4180" w:type="dxa"/>
            <w:vAlign w:val="bottom"/>
            <w:tcBorders>
              <w:right w:val="single" w:sz="8" w:color="auto"/>
            </w:tcBorders>
          </w:tcPr>
          <w:p>
            <w:pPr>
              <w:spacing w:after="0"/>
              <w:rPr>
                <w:sz w:val="7"/>
                <w:szCs w:val="7"/>
                <w:color w:val="auto"/>
              </w:rPr>
            </w:pPr>
          </w:p>
        </w:tc>
        <w:tc>
          <w:tcPr>
            <w:tcW w:w="280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CID003409</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Gejiu City Fuxiang Industry and Trade Co., Ltd.</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CID003410</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NPP Tyazhmetprom LLC</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CID003416</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 Review</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 Unable to</w:t>
            </w:r>
          </w:p>
        </w:tc>
        <w:tc>
          <w:tcPr>
            <w:tcW w:w="0" w:type="dxa"/>
            <w:vAlign w:val="bottom"/>
          </w:tcPr>
          <w:p>
            <w:pPr>
              <w:spacing w:after="0"/>
              <w:rPr>
                <w:sz w:val="1"/>
                <w:szCs w:val="1"/>
                <w:color w:val="auto"/>
              </w:rPr>
            </w:pPr>
          </w:p>
        </w:tc>
      </w:tr>
      <w:tr>
        <w:trPr>
          <w:trHeight w:val="90"/>
        </w:trPr>
        <w:tc>
          <w:tcPr>
            <w:tcW w:w="1140" w:type="dxa"/>
            <w:vAlign w:val="bottom"/>
            <w:tcBorders>
              <w:left w:val="single" w:sz="8" w:color="auto"/>
              <w:right w:val="single" w:sz="8" w:color="auto"/>
            </w:tcBorders>
          </w:tcPr>
          <w:p>
            <w:pPr>
              <w:spacing w:after="0"/>
              <w:rPr>
                <w:sz w:val="7"/>
                <w:szCs w:val="7"/>
                <w:color w:val="auto"/>
              </w:rPr>
            </w:pPr>
          </w:p>
        </w:tc>
        <w:tc>
          <w:tcPr>
            <w:tcW w:w="4180" w:type="dxa"/>
            <w:vAlign w:val="bottom"/>
            <w:tcBorders>
              <w:right w:val="single" w:sz="8" w:color="auto"/>
            </w:tcBorders>
          </w:tcPr>
          <w:p>
            <w:pPr>
              <w:spacing w:after="0"/>
              <w:rPr>
                <w:sz w:val="7"/>
                <w:szCs w:val="7"/>
                <w:color w:val="auto"/>
              </w:rPr>
            </w:pPr>
          </w:p>
        </w:tc>
        <w:tc>
          <w:tcPr>
            <w:tcW w:w="280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CID003417</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Albasteel Industria e Comercio de Ligas Para</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CID003427</w:t>
            </w: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Fundicao Ltd.</w:t>
            </w: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vMerge w:val="continue"/>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Augmont Enterprises Private Limited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CID003461</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Kundan Care Products Ltd.</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CID003463</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Cronimet Brasil Ltda</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CID003468</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Emerald Jewel Industry India Limited (Unit 1)</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CID003487</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Emerald Jewel Industry India Limited (Unit 2)</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CID003488</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6" w:name="page27"/>
    <w:bookmarkEnd w:id="26"/>
    <w:tbl>
      <w:tblPr>
        <w:tblLayout w:type="fixed"/>
        <w:tblInd w:w="10" w:type="dxa"/>
        <w:tblCellMar>
          <w:top w:w="0" w:type="dxa"/>
          <w:left w:w="0" w:type="dxa"/>
          <w:bottom w:w="0" w:type="dxa"/>
          <w:right w:w="0" w:type="dxa"/>
        </w:tblCellMar>
      </w:tblPr>
      <w:tr>
        <w:trPr>
          <w:trHeight w:val="211"/>
        </w:trPr>
        <w:tc>
          <w:tcPr>
            <w:tcW w:w="114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top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Emerald Jewel Industry India Limited (Unit 3)</w:t>
            </w:r>
          </w:p>
        </w:tc>
        <w:tc>
          <w:tcPr>
            <w:tcW w:w="2800" w:type="dxa"/>
            <w:vAlign w:val="bottom"/>
            <w:tcBorders>
              <w:top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top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CID003489</w:t>
            </w:r>
          </w:p>
        </w:tc>
        <w:tc>
          <w:tcPr>
            <w:tcW w:w="15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Emerald Jewel Industry India Limited (Unit 4)</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CID003490</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K.A. Rasmussen</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Norway</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CID003497</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Alexy Metals</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CID003500</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MD Overseas</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CID003548</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Metallix Refining Inc.</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CID003557</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CID003582</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CID003609</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OOO “Technolom” 2</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CID003612</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 Review</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 Unable to</w:t>
            </w:r>
          </w:p>
        </w:tc>
        <w:tc>
          <w:tcPr>
            <w:tcW w:w="0" w:type="dxa"/>
            <w:vAlign w:val="bottom"/>
          </w:tcPr>
          <w:p>
            <w:pPr>
              <w:spacing w:after="0"/>
              <w:rPr>
                <w:sz w:val="1"/>
                <w:szCs w:val="1"/>
                <w:color w:val="auto"/>
              </w:rPr>
            </w:pPr>
          </w:p>
        </w:tc>
      </w:tr>
      <w:tr>
        <w:trPr>
          <w:trHeight w:val="90"/>
        </w:trPr>
        <w:tc>
          <w:tcPr>
            <w:tcW w:w="1140" w:type="dxa"/>
            <w:vAlign w:val="bottom"/>
            <w:tcBorders>
              <w:left w:val="single" w:sz="8" w:color="auto"/>
              <w:right w:val="single" w:sz="8" w:color="auto"/>
            </w:tcBorders>
          </w:tcPr>
          <w:p>
            <w:pPr>
              <w:spacing w:after="0"/>
              <w:rPr>
                <w:sz w:val="7"/>
                <w:szCs w:val="7"/>
                <w:color w:val="auto"/>
              </w:rPr>
            </w:pPr>
          </w:p>
        </w:tc>
        <w:tc>
          <w:tcPr>
            <w:tcW w:w="4180" w:type="dxa"/>
            <w:vAlign w:val="bottom"/>
            <w:tcBorders>
              <w:right w:val="single" w:sz="8" w:color="auto"/>
            </w:tcBorders>
          </w:tcPr>
          <w:p>
            <w:pPr>
              <w:spacing w:after="0"/>
              <w:rPr>
                <w:sz w:val="7"/>
                <w:szCs w:val="7"/>
                <w:color w:val="auto"/>
              </w:rPr>
            </w:pPr>
          </w:p>
        </w:tc>
        <w:tc>
          <w:tcPr>
            <w:tcW w:w="280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OOO “Technolom” 1</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CID003614</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 Review</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 Unable to</w:t>
            </w:r>
          </w:p>
        </w:tc>
        <w:tc>
          <w:tcPr>
            <w:tcW w:w="0" w:type="dxa"/>
            <w:vAlign w:val="bottom"/>
          </w:tcPr>
          <w:p>
            <w:pPr>
              <w:spacing w:after="0"/>
              <w:rPr>
                <w:sz w:val="1"/>
                <w:szCs w:val="1"/>
                <w:color w:val="auto"/>
              </w:rPr>
            </w:pPr>
          </w:p>
        </w:tc>
      </w:tr>
      <w:tr>
        <w:trPr>
          <w:trHeight w:val="90"/>
        </w:trPr>
        <w:tc>
          <w:tcPr>
            <w:tcW w:w="1140" w:type="dxa"/>
            <w:vAlign w:val="bottom"/>
            <w:tcBorders>
              <w:left w:val="single" w:sz="8" w:color="auto"/>
              <w:right w:val="single" w:sz="8" w:color="auto"/>
            </w:tcBorders>
          </w:tcPr>
          <w:p>
            <w:pPr>
              <w:spacing w:after="0"/>
              <w:rPr>
                <w:sz w:val="7"/>
                <w:szCs w:val="7"/>
                <w:color w:val="auto"/>
              </w:rPr>
            </w:pPr>
          </w:p>
        </w:tc>
        <w:tc>
          <w:tcPr>
            <w:tcW w:w="4180" w:type="dxa"/>
            <w:vAlign w:val="bottom"/>
            <w:tcBorders>
              <w:right w:val="single" w:sz="8" w:color="auto"/>
            </w:tcBorders>
          </w:tcPr>
          <w:p>
            <w:pPr>
              <w:spacing w:after="0"/>
              <w:rPr>
                <w:sz w:val="7"/>
                <w:szCs w:val="7"/>
                <w:color w:val="auto"/>
              </w:rPr>
            </w:pPr>
          </w:p>
        </w:tc>
        <w:tc>
          <w:tcPr>
            <w:tcW w:w="280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WEEEREFINING</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France</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CID003615</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YUDU ANSHENG TUNGSTEN CO., LTD.</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CID003662</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Dongwu Gold Group</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CID003663</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Sam Precious Metals</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United Arab Emirates</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CID003666</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NOBLE METAL SERVICES</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CID003690</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5D Production OU</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Estonia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CID003926</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Viet Nam</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CID003993</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Nam Viet Cromit Joint Stock Company</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Viet Nam</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CID004034</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PowerX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Rwanda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CID004054</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28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Congo, Democratic Republic Of</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CID004065</w:t>
            </w: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The</w:t>
            </w: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vMerge w:val="continue"/>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Lianyou Resources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CID004397</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7" w:name="page28"/>
    <w:bookmarkEnd w:id="27"/>
    <w:tbl>
      <w:tblPr>
        <w:tblLayout w:type="fixed"/>
        <w:tblInd w:w="10" w:type="dxa"/>
        <w:tblCellMar>
          <w:top w:w="0" w:type="dxa"/>
          <w:left w:w="0" w:type="dxa"/>
          <w:bottom w:w="0" w:type="dxa"/>
          <w:right w:w="0" w:type="dxa"/>
        </w:tblCellMar>
      </w:tblPr>
      <w:tr>
        <w:trPr>
          <w:trHeight w:val="229"/>
        </w:trPr>
        <w:tc>
          <w:tcPr>
            <w:tcW w:w="11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2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CID004430</w:t>
            </w:r>
          </w:p>
        </w:tc>
        <w:tc>
          <w:tcPr>
            <w:tcW w:w="156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SHENZHEN JINJUNWEI RESOURCE</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CID004435</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COMPREHENSIVE DEVELOPMENT CO., LTD.</w:t>
            </w: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vMerge w:val="continue"/>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Philippine Carreytech Metal Corp.</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Philippines</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CID004438</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GG Refinery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Tanzania, United Republic Of</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CID004506</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RIKAYAA GREENTECH PRIVATE LIMITED</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CID004692</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Attero Recycling Pvt Ltd</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CID004697</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SOLEIL METALS (Chala One Plant)</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Peru</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CID004704</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Active</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SOLEIL METALS (YAKARI Plant)</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Peru</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CID004705</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Active</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Uganda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CID004724</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Global Advanced Metals Greenbushes Pty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Australia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CID004754</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Longnan Chuangyue Environmental Protection</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CID004796</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Outreach</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Technology Development Co., Ltd</w:t>
            </w: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Required</w:t>
            </w: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vMerge w:val="continue"/>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Philippine Bonway Manufacturing Industrial</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Philippines</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CID004797</w:t>
            </w: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Corporation</w:t>
            </w: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vMerge w:val="continue"/>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Jiangxi Sanshi Nonferrous Metals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CID004813</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Active</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Dongguan Best Alloys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CID000377</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Uzbek Refractory and Heat-Resistant Metals</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Uzbekistan</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CID002660</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Active</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Conecsus LLC</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CID003504</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Active</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TITAN COMPANY LIMITED, JEWELLERY</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CID004491</w:t>
            </w: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DIVISION</w:t>
            </w: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Borders>
              <w:left w:val="single" w:sz="8" w:color="auto"/>
              <w:bottom w:val="single" w:sz="8" w:color="auto"/>
              <w:right w:val="single" w:sz="8" w:color="auto"/>
            </w:tcBorders>
          </w:tcPr>
          <w:p>
            <w:pPr>
              <w:spacing w:after="0"/>
              <w:rPr>
                <w:sz w:val="9"/>
                <w:szCs w:val="9"/>
                <w:color w:val="auto"/>
              </w:rPr>
            </w:pPr>
          </w:p>
        </w:tc>
        <w:tc>
          <w:tcPr>
            <w:tcW w:w="4180" w:type="dxa"/>
            <w:vAlign w:val="bottom"/>
            <w:tcBorders>
              <w:bottom w:val="single" w:sz="8" w:color="auto"/>
              <w:right w:val="single" w:sz="8" w:color="auto"/>
            </w:tcBorders>
            <w:vMerge w:val="continue"/>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KENEE MINING VIETNAM COMPANY LIMITED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Viet Nam</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CID004619</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RMI Due</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Gasabo Gold Refinery Ltd</w:t>
            </w:r>
          </w:p>
        </w:tc>
        <w:tc>
          <w:tcPr>
            <w:tcW w:w="28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Rwanda</w:t>
            </w:r>
          </w:p>
        </w:tc>
        <w:tc>
          <w:tcPr>
            <w:tcW w:w="1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CID005006</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 Review</w:t>
            </w:r>
          </w:p>
        </w:tc>
        <w:tc>
          <w:tcPr>
            <w:tcW w:w="0" w:type="dxa"/>
            <w:vAlign w:val="bottom"/>
          </w:tcPr>
          <w:p>
            <w:pPr>
              <w:spacing w:after="0"/>
              <w:rPr>
                <w:sz w:val="1"/>
                <w:szCs w:val="1"/>
                <w:color w:val="auto"/>
              </w:rPr>
            </w:pPr>
          </w:p>
        </w:tc>
      </w:tr>
      <w:tr>
        <w:trPr>
          <w:trHeight w:val="126"/>
        </w:trPr>
        <w:tc>
          <w:tcPr>
            <w:tcW w:w="1140" w:type="dxa"/>
            <w:vAlign w:val="bottom"/>
            <w:tcBorders>
              <w:left w:val="single" w:sz="8" w:color="auto"/>
              <w:right w:val="single" w:sz="8" w:color="auto"/>
            </w:tcBorders>
            <w:vMerge w:val="continue"/>
          </w:tcPr>
          <w:p>
            <w:pPr>
              <w:spacing w:after="0"/>
              <w:rPr>
                <w:sz w:val="10"/>
                <w:szCs w:val="10"/>
                <w:color w:val="auto"/>
              </w:rPr>
            </w:pPr>
          </w:p>
        </w:tc>
        <w:tc>
          <w:tcPr>
            <w:tcW w:w="41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 Unable to</w:t>
            </w:r>
          </w:p>
        </w:tc>
        <w:tc>
          <w:tcPr>
            <w:tcW w:w="0" w:type="dxa"/>
            <w:vAlign w:val="bottom"/>
          </w:tcPr>
          <w:p>
            <w:pPr>
              <w:spacing w:after="0"/>
              <w:rPr>
                <w:sz w:val="1"/>
                <w:szCs w:val="1"/>
                <w:color w:val="auto"/>
              </w:rPr>
            </w:pPr>
          </w:p>
        </w:tc>
      </w:tr>
      <w:tr>
        <w:trPr>
          <w:trHeight w:val="90"/>
        </w:trPr>
        <w:tc>
          <w:tcPr>
            <w:tcW w:w="1140" w:type="dxa"/>
            <w:vAlign w:val="bottom"/>
            <w:tcBorders>
              <w:left w:val="single" w:sz="8" w:color="auto"/>
              <w:right w:val="single" w:sz="8" w:color="auto"/>
            </w:tcBorders>
          </w:tcPr>
          <w:p>
            <w:pPr>
              <w:spacing w:after="0"/>
              <w:rPr>
                <w:sz w:val="7"/>
                <w:szCs w:val="7"/>
                <w:color w:val="auto"/>
              </w:rPr>
            </w:pPr>
          </w:p>
        </w:tc>
        <w:tc>
          <w:tcPr>
            <w:tcW w:w="4180" w:type="dxa"/>
            <w:vAlign w:val="bottom"/>
            <w:tcBorders>
              <w:right w:val="single" w:sz="8" w:color="auto"/>
            </w:tcBorders>
          </w:tcPr>
          <w:p>
            <w:pPr>
              <w:spacing w:after="0"/>
              <w:rPr>
                <w:sz w:val="7"/>
                <w:szCs w:val="7"/>
                <w:color w:val="auto"/>
              </w:rPr>
            </w:pPr>
          </w:p>
        </w:tc>
        <w:tc>
          <w:tcPr>
            <w:tcW w:w="280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Jing Yuan Tungsten Technology Co., Ltd.</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CID005012</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Minera Titán del Perú SRL (MTP) - Belen Plant</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Peru</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CID005014</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Active</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S.P.T. spol.s r.o.</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Czechia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CID005068</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 Kay Metal, Inc</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CID005189</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Tungamoy Metals Inc.</w:t>
            </w: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5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CID005248</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Appendix B: Countries of Origin</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2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Nigeria</w:t>
            </w:r>
          </w:p>
        </w:tc>
        <w:tc>
          <w:tcPr>
            <w:tcW w:w="22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Madagascar</w:t>
            </w:r>
          </w:p>
        </w:tc>
        <w:tc>
          <w:tcPr>
            <w:tcW w:w="22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Italy</w:t>
            </w:r>
          </w:p>
        </w:tc>
        <w:tc>
          <w:tcPr>
            <w:tcW w:w="22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Finland</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Kingdom</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Netherlands</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Ghana</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Dominica</w:t>
            </w: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Australia</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Guyana</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Rwanda</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South Sudan</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Kyrgyzstan</w:t>
            </w: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Kazakhstan</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Hong Kong</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Sweden</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Benin</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Hungary</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Mozambique</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Eritrea</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Dominican Republic</w:t>
            </w: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Ecuador</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Slovakia</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Saudi Arabia</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Liberia</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Cambodia</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Panama</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Papua New Guinea</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Bulgaria</w:t>
            </w: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Peru</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Myanmar</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South Africa</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Arab Emirates</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Mauritania</w:t>
            </w: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Luxembourg</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Burundi</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Belarus</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Central African Republic</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Malaysia</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Ireland</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Congo</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Poland</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Georgia</w:t>
            </w:r>
          </w:p>
        </w:tc>
        <w:tc>
          <w:tcPr>
            <w:tcW w:w="0" w:type="dxa"/>
            <w:vAlign w:val="bottom"/>
          </w:tcPr>
          <w:p>
            <w:pPr>
              <w:spacing w:after="0"/>
              <w:rPr>
                <w:sz w:val="1"/>
                <w:szCs w:val="1"/>
                <w:color w:val="auto"/>
              </w:rPr>
            </w:pPr>
          </w:p>
        </w:tc>
      </w:tr>
      <w:tr>
        <w:trPr>
          <w:trHeight w:val="191"/>
        </w:trPr>
        <w:tc>
          <w:tcPr>
            <w:tcW w:w="22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Chile</w:t>
            </w:r>
          </w:p>
        </w:tc>
        <w:tc>
          <w:tcPr>
            <w:tcW w:w="22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22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Bolivia (Plurinational State</w:t>
            </w:r>
          </w:p>
        </w:tc>
        <w:tc>
          <w:tcPr>
            <w:tcW w:w="22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Mali</w:t>
            </w:r>
          </w:p>
        </w:tc>
        <w:tc>
          <w:tcPr>
            <w:tcW w:w="22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Senegal</w:t>
            </w:r>
          </w:p>
        </w:tc>
        <w:tc>
          <w:tcPr>
            <w:tcW w:w="0" w:type="dxa"/>
            <w:vAlign w:val="bottom"/>
          </w:tcPr>
          <w:p>
            <w:pPr>
              <w:spacing w:after="0"/>
              <w:rPr>
                <w:sz w:val="1"/>
                <w:szCs w:val="1"/>
                <w:color w:val="auto"/>
              </w:rPr>
            </w:pPr>
          </w:p>
        </w:tc>
      </w:tr>
      <w:tr>
        <w:trPr>
          <w:trHeight w:val="126"/>
        </w:trPr>
        <w:tc>
          <w:tcPr>
            <w:tcW w:w="2280" w:type="dxa"/>
            <w:vAlign w:val="bottom"/>
            <w:tcBorders>
              <w:left w:val="single" w:sz="8" w:color="auto"/>
              <w:right w:val="single" w:sz="8" w:color="auto"/>
            </w:tcBorders>
            <w:vMerge w:val="continue"/>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22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bottom w:val="single" w:sz="8" w:color="auto"/>
              <w:right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2240" w:type="dxa"/>
            <w:vAlign w:val="bottom"/>
            <w:tcBorders>
              <w:bottom w:val="single" w:sz="8" w:color="auto"/>
              <w:right w:val="single" w:sz="8" w:color="auto"/>
            </w:tcBorders>
            <w:vMerge w:val="continue"/>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France</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Suriname</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El Salvador</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Tajikistan</w:t>
            </w: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Austria</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Ethiopia</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Philippines</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Burkina Faso</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Serbia</w:t>
            </w: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Korea</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Singapore</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Andorra</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New Zealand</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Fiji</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Argentina</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Namibia</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Tanzania</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Guatemala</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Lithuania</w:t>
            </w: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Mongolia</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Mexico</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Zimbabwe</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Liechtenstein</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Oman</w:t>
            </w: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Thailand</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Israel</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Guinea</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Armenia</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Botswana</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Colombia</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Estonia</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Zambia</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Nicaragua</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Kenya</w:t>
            </w: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Spain</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Taiwan</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Djibouti</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Honduras</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Cyprus</w:t>
            </w:r>
          </w:p>
        </w:tc>
        <w:tc>
          <w:tcPr>
            <w:tcW w:w="0" w:type="dxa"/>
            <w:vAlign w:val="bottom"/>
          </w:tcPr>
          <w:p>
            <w:pPr>
              <w:spacing w:after="0"/>
              <w:rPr>
                <w:sz w:val="1"/>
                <w:szCs w:val="1"/>
                <w:color w:val="auto"/>
              </w:rPr>
            </w:pPr>
          </w:p>
        </w:tc>
      </w:tr>
      <w:tr>
        <w:trPr>
          <w:trHeight w:val="191"/>
        </w:trPr>
        <w:tc>
          <w:tcPr>
            <w:tcW w:w="22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Portugal</w:t>
            </w:r>
          </w:p>
        </w:tc>
        <w:tc>
          <w:tcPr>
            <w:tcW w:w="22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Democratic Republic of</w:t>
            </w:r>
          </w:p>
        </w:tc>
        <w:tc>
          <w:tcPr>
            <w:tcW w:w="22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Sudan</w:t>
            </w:r>
          </w:p>
        </w:tc>
        <w:tc>
          <w:tcPr>
            <w:tcW w:w="22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Morocco</w:t>
            </w:r>
          </w:p>
        </w:tc>
        <w:tc>
          <w:tcPr>
            <w:tcW w:w="22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Uruguay</w:t>
            </w:r>
          </w:p>
        </w:tc>
        <w:tc>
          <w:tcPr>
            <w:tcW w:w="0" w:type="dxa"/>
            <w:vAlign w:val="bottom"/>
          </w:tcPr>
          <w:p>
            <w:pPr>
              <w:spacing w:after="0"/>
              <w:rPr>
                <w:sz w:val="1"/>
                <w:szCs w:val="1"/>
                <w:color w:val="auto"/>
              </w:rPr>
            </w:pPr>
          </w:p>
        </w:tc>
      </w:tr>
      <w:tr>
        <w:trPr>
          <w:trHeight w:val="126"/>
        </w:trPr>
        <w:tc>
          <w:tcPr>
            <w:tcW w:w="2280" w:type="dxa"/>
            <w:vAlign w:val="bottom"/>
            <w:tcBorders>
              <w:left w:val="single" w:sz="8" w:color="auto"/>
              <w:right w:val="single" w:sz="8" w:color="auto"/>
            </w:tcBorders>
            <w:vMerge w:val="continue"/>
          </w:tcPr>
          <w:p>
            <w:pPr>
              <w:spacing w:after="0"/>
              <w:rPr>
                <w:sz w:val="10"/>
                <w:szCs w:val="10"/>
                <w:color w:val="auto"/>
              </w:rPr>
            </w:pPr>
          </w:p>
        </w:tc>
        <w:tc>
          <w:tcPr>
            <w:tcW w:w="22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Congo</w:t>
            </w:r>
          </w:p>
        </w:tc>
        <w:tc>
          <w:tcPr>
            <w:tcW w:w="22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bottom w:val="single" w:sz="8" w:color="auto"/>
              <w:right w:val="single" w:sz="8" w:color="auto"/>
            </w:tcBorders>
          </w:tcPr>
          <w:p>
            <w:pPr>
              <w:spacing w:after="0"/>
              <w:rPr>
                <w:sz w:val="9"/>
                <w:szCs w:val="9"/>
                <w:color w:val="auto"/>
              </w:rPr>
            </w:pPr>
          </w:p>
        </w:tc>
        <w:tc>
          <w:tcPr>
            <w:tcW w:w="2240" w:type="dxa"/>
            <w:vAlign w:val="bottom"/>
            <w:tcBorders>
              <w:bottom w:val="single" w:sz="8" w:color="auto"/>
              <w:right w:val="single" w:sz="8" w:color="auto"/>
            </w:tcBorders>
            <w:vMerge w:val="continue"/>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Niger</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Sierra Leone</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Turkey</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Uganda</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Bermuda</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Belgium</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Viet Nam</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Angola</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Azerbaijan</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Albania</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Russian Federation</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Egypt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Uzbekistan</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Jersey</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Solomon Islands</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Norway</w:t>
            </w: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2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29</w:t>
            </w:r>
          </w:p>
        </w:tc>
        <w:tc>
          <w:tcPr>
            <w:tcW w:w="2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3"/>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2026-05-29T10:14:00Z</dcterms:created>
  <dcterms:modified xsi:type="dcterms:W3CDTF">2026-05-29T10:14:00Z</dcterms:modified>
</cp:coreProperties>
</file>