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filename1.htm"/>
      <w:bookmarkStart w:id="1" w:name="ksfilename1"/>
      <w:bookmarkEnd w:id="0"/>
      <w:bookmarkEnd w:id="1"/>
      <w:r>
        <w:rPr>
          <w:rFonts w:ascii="Times New Roman;Times;Serif" w:hAnsi="Times New Roman;Times;Serif"/>
          <w:b/>
          <w:i w:val="false"/>
          <w:caps w:val="false"/>
          <w:smallCaps w:val="false"/>
          <w:sz w:val="20"/>
        </w:rPr>
        <w:t xml:space="preserve">As confidentially submitted to the Securities and Exchange Commission on June 18, 2026. This draft registration statement has not been publicly filed with the Securities and Exchange Commission and all information herein remains strictly confidential.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S-3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REGISTRATION STATEMENT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FREQUENCY ELECTRONICS,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2660"/>
        <w:gridCol w:w="60"/>
        <w:gridCol w:w="1565"/>
      </w:tblGrid>
      <w:tr>
        <w:trPr/>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11-1986657</w:t>
            </w:r>
          </w:p>
        </w:tc>
      </w:tr>
      <w:tr>
        <w:trPr/>
        <w:tc>
          <w:tcPr>
            <w:tcW w:w="266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Charles Lindbergh Blvd.</w:t>
        <w:br/>
        <w:t>Mitchel Field, New York 11553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794-4500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including zip code, and telephone number, including area code, of registrant’s principal executive offices)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L. Bernstein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Secretary and Treasurer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55 Charles Lindbergh Blvd.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Mitchel Field, New York 11553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794-4500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address, including zip code, and telephone number, including area code, of agent for service)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Please send copies of all notices, orders and communications to: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Lawton B. Way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Lake Taylor, Jr.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McGuireWoods LLP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Gateway Plaza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800 East Canal Street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Richmond, Virginia 23219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(804) 775-1000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From time to time after the effective date of this Registration Statement as determined by market conditions.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for pursuant to Section 7(a)(2)(B) of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FF4338"/>
          <w:sz w:val="20"/>
        </w:rPr>
      </w:pPr>
      <w:r>
        <w:rPr>
          <w:rFonts w:ascii="Times New Roman;Times;Serif" w:hAnsi="Times New Roman;Times;Serif"/>
          <w:b/>
          <w:i w:val="false"/>
          <w:caps w:val="false"/>
          <w:smallCaps w:val="false"/>
          <w:color w:val="FF4338"/>
          <w:sz w:val="20"/>
        </w:rPr>
        <w:t>The information in this prospectus is not complete and may be changed. Neither we nor the selling stockholders may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FF4338"/>
          <w:sz w:val="20"/>
        </w:rPr>
      </w:pPr>
      <w:r>
        <w:rPr>
          <w:rFonts w:ascii="Times New Roman;Times;Serif" w:hAnsi="Times New Roman;Times;Serif"/>
          <w:b/>
          <w:i w:val="false"/>
          <w:caps w:val="false"/>
          <w:smallCaps w:val="false"/>
          <w:color w:val="FF4338"/>
          <w:sz w:val="20"/>
        </w:rPr>
        <w:t>SUBJECT TO COMPLETION, DATED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19200"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10953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FREQUENCY ELECTRONICS,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tab/>
        <w:t xml:space="preserve">           of Common Stock, Preferred Stock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and/or Warrants Offered by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w:t>
        <w:tab/>
        <w:t xml:space="preserve"> Shares of Common Stock Offered by Selling Stockholders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Frequency Electronics, Inc. may offer and sell, together or separately, up to $                      </w:t>
        <w:tab/>
        <w:t xml:space="preserve"> in aggregate initial offering price of our common stock, preferred stock or warrants to purchase common stock or preferred stock, or a combination thereof from time to time in one or more offerings. In addition, selling stockholders may offer and sell up to                      </w:t>
        <w:tab/>
        <w:t xml:space="preserve"> shares of our common stock, in the aggregate, from time to time in one or more offerings. In this prospectus, we refer to our common stock, preferred stock and warrants that we may offer and sell, together with the shares of our common stock that the selling stockholders may offer and sell, collectively as the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pursuant to this prospectus may be sold at prevailing market prices or at prices different than prevailing market prices. We or the selling stockholders may offer and sell these securities to or through one or more underwriters, dealers or agents, or directly to purchasers, on a delayed or continuous basis. This prospectus describes some of the general terms that apply to the securities. For general information about the distribution of securities offered, see “Plan of Distribution” in this prospectus. Each time our securities are offered under this prospectus, we will provide a prospectus supplement containing more specific information about the particular offering. We also may authorize one or more free writing prospectuses to be provided to you in connection with the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for each offering will describe the plan of distribution for that offering. The prospectus supplement also will set forth the price to the public of the securities and the net proceeds that we expect to receive from the sale of any securities we are offering. We will not receive any proceeds from the sale of shares of our common stock by the selling stockholders. The prospectus supplement and any free writing prospectus may also add, update or change information contained or incorporated in this prospectus. You should carefully read this prospectus and any accompanying prospectus supplement, together with the documents we incorporate by reference, before you invest in our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sell our securities through one or more underwriters, dealers or agents that we select. If underwriters, dealers or agents are used to sell securities, we will name them and describe their compensation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ticker symbol “FEIM.” On June 17, 2026, the last reported sale price for our common stock on The Nasdaq Global Market was $70.22 per share. Each prospectus supplement will indicate whether the securities offered thereby will be listed on any securities exchange.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Investing in our securities involves substantial risks. You should carefully read and consider “Risk Factors” on page 6 before investing in our securities.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245"/>
        <w:gridCol w:w="60"/>
        <w:gridCol w:w="245"/>
      </w:tblGrid>
      <w:tr>
        <w:trPr/>
        <w:tc>
          <w:tcPr>
            <w:tcW w:w="6245" w:type="dxa"/>
            <w:tcBorders/>
            <w:vAlign w:val="center"/>
          </w:tcPr>
          <w:p>
            <w:pPr>
              <w:pStyle w:val="TableContents"/>
              <w:bidi w:val="0"/>
              <w:spacing w:before="0" w:after="283"/>
              <w:ind w:left="0" w:right="0" w:hanging="0"/>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245" w:type="dxa"/>
            <w:tcBorders/>
            <w:vAlign w:val="center"/>
          </w:tcPr>
          <w:p>
            <w:pPr>
              <w:pStyle w:val="TableContents"/>
              <w:bidi w:val="0"/>
              <w:spacing w:before="0" w:after="283"/>
              <w:ind w:left="0" w:right="0" w:hanging="0"/>
              <w:jc w:val="left"/>
              <w:rPr/>
            </w:pPr>
            <w:hyperlink w:anchor="a_002">
              <w:r>
                <w:rPr>
                  <w:rStyle w:val="InternetLink"/>
                  <w:rFonts w:ascii="Times New Roman;Times;Serif" w:hAnsi="Times New Roman;Times;Serif"/>
                  <w:b w:val="false"/>
                  <w:i w:val="false"/>
                  <w:caps w:val="false"/>
                  <w:smallCaps w:val="false"/>
                  <w:sz w:val="20"/>
                </w:rPr>
                <w:t>INCORPORATION OF CERTAIN DOCUMENTS BY REFERENCE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245" w:type="dxa"/>
            <w:tcBorders/>
            <w:vAlign w:val="center"/>
          </w:tcPr>
          <w:p>
            <w:pPr>
              <w:pStyle w:val="TableContents"/>
              <w:bidi w:val="0"/>
              <w:spacing w:before="0" w:after="283"/>
              <w:ind w:left="0" w:right="0" w:hanging="0"/>
              <w:jc w:val="left"/>
              <w:rPr/>
            </w:pPr>
            <w:hyperlink w:anchor="a_003">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245" w:type="dxa"/>
            <w:tcBorders/>
            <w:vAlign w:val="center"/>
          </w:tcPr>
          <w:p>
            <w:pPr>
              <w:pStyle w:val="TableContents"/>
              <w:bidi w:val="0"/>
              <w:spacing w:before="0" w:after="283"/>
              <w:ind w:left="0" w:right="0" w:hanging="0"/>
              <w:jc w:val="left"/>
              <w:rPr/>
            </w:pPr>
            <w:hyperlink w:anchor="a_004">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245" w:type="dxa"/>
            <w:tcBorders/>
            <w:vAlign w:val="center"/>
          </w:tcPr>
          <w:p>
            <w:pPr>
              <w:pStyle w:val="TableContents"/>
              <w:bidi w:val="0"/>
              <w:spacing w:before="0" w:after="283"/>
              <w:ind w:left="0" w:right="0" w:hanging="0"/>
              <w:jc w:val="left"/>
              <w:rPr/>
            </w:pPr>
            <w:hyperlink w:anchor="a_005">
              <w:r>
                <w:rPr>
                  <w:rStyle w:val="InternetLink"/>
                  <w:rFonts w:ascii="Times New Roman;Times;Serif" w:hAnsi="Times New Roman;Times;Serif"/>
                  <w:b w:val="false"/>
                  <w:i w:val="false"/>
                  <w:caps w:val="false"/>
                  <w:smallCaps w:val="false"/>
                  <w:sz w:val="20"/>
                </w:rPr>
                <w:t>OUR COMPANY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245" w:type="dxa"/>
            <w:tcBorders/>
            <w:vAlign w:val="center"/>
          </w:tcPr>
          <w:p>
            <w:pPr>
              <w:pStyle w:val="TableContents"/>
              <w:bidi w:val="0"/>
              <w:spacing w:before="0" w:after="283"/>
              <w:ind w:left="0" w:right="0" w:hanging="0"/>
              <w:jc w:val="left"/>
              <w:rPr/>
            </w:pPr>
            <w:hyperlink w:anchor="a_006">
              <w:r>
                <w:rPr>
                  <w:rStyle w:val="InternetLink"/>
                  <w:rFonts w:ascii="Times New Roman;Times;Serif" w:hAnsi="Times New Roman;Times;Serif"/>
                  <w:b w:val="false"/>
                  <w:i w:val="false"/>
                  <w:caps w:val="false"/>
                  <w:smallCaps w:val="false"/>
                  <w:sz w:val="20"/>
                </w:rPr>
                <w:t>RISK FACTORS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245" w:type="dxa"/>
            <w:tcBorders/>
            <w:vAlign w:val="center"/>
          </w:tcPr>
          <w:p>
            <w:pPr>
              <w:pStyle w:val="TableContents"/>
              <w:bidi w:val="0"/>
              <w:spacing w:before="0" w:after="283"/>
              <w:ind w:left="0" w:right="0" w:hanging="0"/>
              <w:jc w:val="left"/>
              <w:rPr/>
            </w:pPr>
            <w:hyperlink w:anchor="a_007">
              <w:r>
                <w:rPr>
                  <w:rStyle w:val="InternetLink"/>
                  <w:rFonts w:ascii="Times New Roman;Times;Serif" w:hAnsi="Times New Roman;Times;Serif"/>
                  <w:b w:val="false"/>
                  <w:i w:val="false"/>
                  <w:caps w:val="false"/>
                  <w:smallCaps w:val="false"/>
                  <w:sz w:val="20"/>
                </w:rPr>
                <w:t>USE OF PROCEEDS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45" w:type="dxa"/>
            <w:tcBorders/>
            <w:vAlign w:val="center"/>
          </w:tcPr>
          <w:p>
            <w:pPr>
              <w:pStyle w:val="TableContents"/>
              <w:bidi w:val="0"/>
              <w:spacing w:before="0" w:after="283"/>
              <w:ind w:left="0" w:right="0" w:hanging="0"/>
              <w:jc w:val="left"/>
              <w:rPr/>
            </w:pPr>
            <w:hyperlink w:anchor="a_008">
              <w:r>
                <w:rPr>
                  <w:rStyle w:val="InternetLink"/>
                  <w:rFonts w:ascii="Times New Roman;Times;Serif" w:hAnsi="Times New Roman;Times;Serif"/>
                  <w:b w:val="false"/>
                  <w:i w:val="false"/>
                  <w:caps w:val="false"/>
                  <w:smallCaps w:val="false"/>
                  <w:sz w:val="20"/>
                </w:rPr>
                <w:t xml:space="preserve">DESCRIPTION OF SECURITIES </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245" w:type="dxa"/>
            <w:tcBorders/>
            <w:vAlign w:val="center"/>
          </w:tcPr>
          <w:p>
            <w:pPr>
              <w:pStyle w:val="TableContents"/>
              <w:bidi w:val="0"/>
              <w:spacing w:before="0" w:after="283"/>
              <w:ind w:left="0" w:right="0" w:hanging="0"/>
              <w:jc w:val="left"/>
              <w:rPr/>
            </w:pPr>
            <w:hyperlink w:anchor="a_009">
              <w:r>
                <w:rPr>
                  <w:rStyle w:val="InternetLink"/>
                  <w:rFonts w:ascii="Times New Roman;Times;Serif" w:hAnsi="Times New Roman;Times;Serif"/>
                  <w:b w:val="false"/>
                  <w:i w:val="false"/>
                  <w:caps w:val="false"/>
                  <w:smallCaps w:val="false"/>
                  <w:sz w:val="20"/>
                </w:rPr>
                <w:t>DESCRIPTION OF CAPITAL STOCK</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245" w:type="dxa"/>
            <w:tcBorders/>
            <w:vAlign w:val="center"/>
          </w:tcPr>
          <w:p>
            <w:pPr>
              <w:pStyle w:val="TableContents"/>
              <w:bidi w:val="0"/>
              <w:spacing w:before="0" w:after="283"/>
              <w:ind w:left="0" w:right="0" w:hanging="0"/>
              <w:jc w:val="left"/>
              <w:rPr/>
            </w:pPr>
            <w:hyperlink w:anchor="a_010">
              <w:r>
                <w:rPr>
                  <w:rStyle w:val="InternetLink"/>
                  <w:rFonts w:ascii="Times New Roman;Times;Serif" w:hAnsi="Times New Roman;Times;Serif"/>
                  <w:b w:val="false"/>
                  <w:i w:val="false"/>
                  <w:caps w:val="false"/>
                  <w:smallCaps w:val="false"/>
                  <w:sz w:val="20"/>
                </w:rPr>
                <w:t>DESCRIPTION OF WARRANTS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245" w:type="dxa"/>
            <w:tcBorders/>
            <w:vAlign w:val="center"/>
          </w:tcPr>
          <w:p>
            <w:pPr>
              <w:pStyle w:val="TableContents"/>
              <w:bidi w:val="0"/>
              <w:spacing w:before="0" w:after="283"/>
              <w:ind w:left="0" w:right="0" w:hanging="0"/>
              <w:jc w:val="left"/>
              <w:rPr/>
            </w:pPr>
            <w:hyperlink w:anchor="a_010a">
              <w:r>
                <w:rPr>
                  <w:rStyle w:val="InternetLink"/>
                  <w:rFonts w:ascii="Times New Roman;Times;Serif" w:hAnsi="Times New Roman;Times;Serif"/>
                  <w:b w:val="false"/>
                  <w:i w:val="false"/>
                  <w:caps w:val="false"/>
                  <w:smallCaps w:val="false"/>
                  <w:sz w:val="20"/>
                </w:rPr>
                <w:t>SELLING STOCKHOLDERS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245" w:type="dxa"/>
            <w:tcBorders/>
            <w:vAlign w:val="center"/>
          </w:tcPr>
          <w:p>
            <w:pPr>
              <w:pStyle w:val="TableContents"/>
              <w:bidi w:val="0"/>
              <w:spacing w:before="0" w:after="283"/>
              <w:ind w:left="0" w:right="0" w:hanging="0"/>
              <w:jc w:val="left"/>
              <w:rPr/>
            </w:pPr>
            <w:hyperlink w:anchor="a_011">
              <w:r>
                <w:rPr>
                  <w:rStyle w:val="InternetLink"/>
                  <w:rFonts w:ascii="Times New Roman;Times;Serif" w:hAnsi="Times New Roman;Times;Serif"/>
                  <w:b w:val="false"/>
                  <w:i w:val="false"/>
                  <w:caps w:val="false"/>
                  <w:smallCaps w:val="false"/>
                  <w:sz w:val="20"/>
                </w:rPr>
                <w:t>PLAN OF DISTRIBUTION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245" w:type="dxa"/>
            <w:tcBorders/>
            <w:vAlign w:val="center"/>
          </w:tcPr>
          <w:p>
            <w:pPr>
              <w:pStyle w:val="TableContents"/>
              <w:bidi w:val="0"/>
              <w:spacing w:before="0" w:after="283"/>
              <w:ind w:left="0" w:right="0" w:hanging="0"/>
              <w:jc w:val="left"/>
              <w:rPr/>
            </w:pPr>
            <w:hyperlink w:anchor="a_012">
              <w:r>
                <w:rPr>
                  <w:rStyle w:val="InternetLink"/>
                  <w:rFonts w:ascii="Times New Roman;Times;Serif" w:hAnsi="Times New Roman;Times;Serif"/>
                  <w:b w:val="false"/>
                  <w:i w:val="false"/>
                  <w:caps w:val="false"/>
                  <w:smallCaps w:val="false"/>
                  <w:sz w:val="20"/>
                </w:rPr>
                <w:t>LEGAL MATTERS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245" w:type="dxa"/>
            <w:tcBorders/>
            <w:vAlign w:val="center"/>
          </w:tcPr>
          <w:p>
            <w:pPr>
              <w:pStyle w:val="TableContents"/>
              <w:bidi w:val="0"/>
              <w:spacing w:before="0" w:after="283"/>
              <w:ind w:left="0" w:right="0" w:hanging="0"/>
              <w:jc w:val="left"/>
              <w:rPr/>
            </w:pPr>
            <w:hyperlink w:anchor="a_013">
              <w:r>
                <w:rPr>
                  <w:rStyle w:val="InternetLink"/>
                  <w:rFonts w:ascii="Times New Roman;Times;Serif" w:hAnsi="Times New Roman;Times;Serif"/>
                  <w:b w:val="false"/>
                  <w:i w:val="false"/>
                  <w:caps w:val="false"/>
                  <w:smallCaps w:val="false"/>
                  <w:sz w:val="20"/>
                </w:rPr>
                <w:t>EXPERTS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 xml:space="preserve">ABOUT THIS PROSPECTUS </w:t>
      </w:r>
    </w:p>
    <w:p>
      <w:pPr>
        <w:pStyle w:val="TextBody"/>
        <w:bidi w:val="0"/>
        <w:spacing w:before="0" w:after="0"/>
        <w:ind w:left="0" w:right="0" w:firstLine="80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is part of a registration statement on Form S-3 that we filed with the Securities and Exchange Commission (the “Commission”) using a “shelf” registration process. Under this shelf registration process, we may offer and sell up to $                    </w:t>
        <w:tab/>
        <w:t xml:space="preserve">of any combination of the securities described in this prospectus from time to time in one or more offerings, and the selling stockholders referred to in this prospectus and identified in supplements to this prospectus may also sell up to </w:t>
        <w:tab/>
        <w:t xml:space="preserve">                    </w:t>
        <w:tab/>
        <w:t>shares of our common stock from time to time in one or more offerings. This prospectus only provides you with a general description of the securities we or the selling stockholders may offer. Each time securities are offered, we will provide a prospectus supplement. We may also authorize one or more free writing prospectuses to be provided to you in connection with the offering. The prospectus supplement and/or free writing prospectus will contain specific information about the terms and manner of that offering. The prospectus supplement and free writing prospectus may also add, update or change information contained in this prospectus. Any such information that is inconsistent with this prospectus will supersede the information in this prospectus. You should read both this prospectus and any accompanying prospectus supplement or free writing prospectus together with the additional information described below under the heading “Incorporation of Certain Documents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or incorporated by reference exhibits to the registration statement of which this prospectus forms a part. This prospectus contains summaries of certain provisions contained in some of the exhibits to our registration statement, but reference is made to the actual documents for complete information. All of the summaries are qualified in their entirety by the full text of these documents. You may obtain copies of these documents at no cost by writing to or telephoning us at the address and telephone number given under the heading “Where You Can Find More Information”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nor any underwriters, dealers or agents have authorized any other person to provide you with different or additional information other than that contained in, or incorporated by reference into, this prospectus or any applicable prospectus supplement or free writing prospectus. Neither we, nor the selling stockholders, nor any underwriters, dealers or agents take any responsibility, and can make no assurance as to the reliability of, any other information that others may give you. This prospectus may be used only where it is legal to sell these securities. This prospectus is not an offer to sell, or a solicitation of an offer to buy, in any state where the offer or sale is prohibited. The information in this prospectus, any prospectus supplement, free writing prospectus or any document incorporated herein or therein by reference is accurate as of the date contained on the cover of such documents. Neither the delivery of this prospectus or any prospectus supplement or free writing prospectus, nor any sale made under this prospectus or any prospectus supplement or free writing prospectus will, under any circumstances, imply that the information in this prospectus or any prospectus supplement or free writing prospectus is correct as of any date after the date of this prospectus or any such prospectus supplement or free writing prospectus. Our business, financial condition, results of operations and prospects may have changed since that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“Frequency Electronics,” the “Company,” “we,” “us,” and “our” refer to Frequency Electronics, Inc. and its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 xml:space="preserve">INCORPORATION OF CERTAIN DOCUMENTS BY REFERENCE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allows us to “incorporate by reference” into this prospectus the information we have filed with the Commission. This means that we can disclose important information by referring you to those documents. Our Commission file number is 001-08061. All documents that we file with the Commission pursuant to Sections 13(a), 13(c), 14 or 15(d) of the Securities Exchange Act of 1934, as amended (the “Exchange Act”), on or after the date of this prospectus and prior to the termination of the offering of any securities covered by this prospectus and any accompanying prospectus supplement will be deemed to be incorporated by reference into this prospectus and to be a part hereof from the date of filing of such documents. We are not, however, incorporating by reference any documents or portions thereof, whether specifically listed below or filed in the future, that are not deemed “filed” with the Commission under its rules and regulations, including information furnished pursuant to Item 2.02 or 7.01 of Form 8-K unless specified otherwise. Any statement contained in a document incorporated or deemed to be incorporated by reference in this prospectus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following documents that we have already filed with the Commission, and any documents that we file with the Commission in the future, under Sections 13(a), 13(c), 14 or 15(d) of the Exchange Act, until the termination of the offering of any securities covered by this prospectus and the accompanying prospectus supplement: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April 30, 2025 (including portions of our Definitive Proxy Statement on </w:t>
            </w:r>
            <w:hyperlink r:id="rId4">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filed with the Commission on August 28, 2025, incorporated by reference in such Annual Report on Form 10-K);</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Quarterly Reports on Form 10-Q for the quarters ended </w:t>
            </w:r>
            <w:hyperlink r:id="rId5">
              <w:r>
                <w:rPr>
                  <w:rStyle w:val="InternetLink"/>
                  <w:rFonts w:ascii="Times New Roman;Times;Serif" w:hAnsi="Times New Roman;Times;Serif"/>
                  <w:b w:val="false"/>
                  <w:i w:val="false"/>
                  <w:caps w:val="false"/>
                  <w:smallCaps w:val="false"/>
                  <w:sz w:val="20"/>
                </w:rPr>
                <w:t>July 31, 2025</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October 31, 2025</w:t>
              </w:r>
            </w:hyperlink>
            <w:r>
              <w:rPr>
                <w:rFonts w:ascii="Times New Roman;Times;Serif" w:hAnsi="Times New Roman;Times;Serif"/>
                <w:b w:val="false"/>
                <w:i w:val="false"/>
                <w:caps w:val="false"/>
                <w:smallCaps w:val="false"/>
                <w:sz w:val="20"/>
              </w:rPr>
              <w:t xml:space="preserve"> and </w:t>
            </w:r>
            <w:hyperlink r:id="rId7">
              <w:r>
                <w:rPr>
                  <w:rStyle w:val="InternetLink"/>
                  <w:rFonts w:ascii="Times New Roman;Times;Serif" w:hAnsi="Times New Roman;Times;Serif"/>
                  <w:b w:val="false"/>
                  <w:i w:val="false"/>
                  <w:caps w:val="false"/>
                  <w:smallCaps w:val="false"/>
                  <w:sz w:val="20"/>
                </w:rPr>
                <w:t>January 31, 2026</w:t>
              </w:r>
            </w:hyperlink>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Current Reports on Form 8-K filed with the Commission on </w:t>
            </w:r>
            <w:hyperlink r:id="rId8">
              <w:r>
                <w:rPr>
                  <w:rStyle w:val="InternetLink"/>
                  <w:rFonts w:ascii="Times New Roman;Times;Serif" w:hAnsi="Times New Roman;Times;Serif"/>
                  <w:b w:val="false"/>
                  <w:i w:val="false"/>
                  <w:caps w:val="false"/>
                  <w:smallCaps w:val="false"/>
                  <w:sz w:val="20"/>
                </w:rPr>
                <w:t>September 11, 2025</w:t>
              </w:r>
            </w:hyperlink>
            <w:r>
              <w:rPr>
                <w:rFonts w:ascii="Times New Roman;Times;Serif" w:hAnsi="Times New Roman;Times;Serif"/>
                <w:b w:val="false"/>
                <w:i w:val="false"/>
                <w:caps w:val="false"/>
                <w:smallCaps w:val="false"/>
                <w:sz w:val="20"/>
              </w:rPr>
              <w:t xml:space="preserve"> (Item 8.01 only), </w:t>
            </w:r>
            <w:hyperlink r:id="rId9">
              <w:r>
                <w:rPr>
                  <w:rStyle w:val="InternetLink"/>
                  <w:rFonts w:ascii="Times New Roman;Times;Serif" w:hAnsi="Times New Roman;Times;Serif"/>
                  <w:b w:val="false"/>
                  <w:i w:val="false"/>
                  <w:caps w:val="false"/>
                  <w:smallCaps w:val="false"/>
                  <w:sz w:val="20"/>
                </w:rPr>
                <w:t>October 9, 2025</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June 12, 2026</w:t>
              </w:r>
            </w:hyperlink>
            <w:r>
              <w:rPr>
                <w:rFonts w:ascii="Times New Roman;Times;Serif" w:hAnsi="Times New Roman;Times;Serif"/>
                <w:b w:val="false"/>
                <w:i w:val="false"/>
                <w:caps w:val="false"/>
                <w:smallCaps w:val="false"/>
                <w:sz w:val="20"/>
              </w:rPr>
              <w:t xml:space="preserve">;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description of our common stock contained in </w:t>
            </w:r>
            <w:hyperlink r:id="rId11">
              <w:r>
                <w:rPr>
                  <w:rStyle w:val="InternetLink"/>
                  <w:rFonts w:ascii="Times New Roman;Times;Serif" w:hAnsi="Times New Roman;Times;Serif"/>
                  <w:b w:val="false"/>
                  <w:i w:val="false"/>
                  <w:caps w:val="false"/>
                  <w:smallCaps w:val="false"/>
                  <w:sz w:val="20"/>
                </w:rPr>
                <w:t>Exhibit 4.2</w:t>
              </w:r>
            </w:hyperlink>
            <w:r>
              <w:rPr>
                <w:rFonts w:ascii="Times New Roman;Times;Serif" w:hAnsi="Times New Roman;Times;Serif"/>
                <w:b w:val="false"/>
                <w:i w:val="false"/>
                <w:caps w:val="false"/>
                <w:smallCaps w:val="false"/>
                <w:sz w:val="20"/>
              </w:rPr>
              <w:t xml:space="preserve"> to our Annual Report on </w:t>
            </w:r>
            <w:hyperlink r:id="rId1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April 30, 2021, including any subsequent amendment or any report subsequently filed for the purpose of updating such description.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will be provided without charge to each person to whom a copy of this prospectus is delivered (other than the exhibits to such documents which are not specifically incorporated by reference herein), upon written or oral request. Requests should be directed to Frequency Electronics, Inc., 55 Charles Lindbergh Boulevard, Mitchel Field, New York 11553, Attention: Secretary, or telephone number: (516) 794-4500. You also may obtain copies of these filings, at no cost, by accessing our website at www.frequencyelectronics.com. The information contained on, or otherwise accessible through, our website is not incorporated into, and does not constitute a part of this prospectus, any accompanying prospectus supplement or any other report or document we file with or furnish to the Commission.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 xml:space="preserve">WHERE YOU CAN FIND MORE INFORMATION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other periodic reports, proxy statements and other information with the Commission. Our filings with the Commission are available to the public without charge at the Commission’s website: www.sec.gov. This information is also available on our website at www.frequencyelectronics.com. Except as set forth in the “Incorporation of Certain Documents by Reference” section of this prospectus or any accompanying prospectus supplement, the information contained on, or otherwise accessible through, these websites is not incorporated into, and does not constitute a part of this prospectus or any accompanying prospectus supplement or any other report or document that we file with or furnish to the Commission.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prospectus, any accompanying prospectus supplement and the documents we incorporate by reference that are not statements of historical or current facts are forward-looking statements within the meaning of the Private Securities Litigation Reform Act of 1995 (set forth in Section 27A of the Securities Act of 1933, as amended (the “Securities Act”) and Section 21E of the Exchange Act). Also, documents we subsequently file with the Commission and incorporate by reference will contain forward-looking statements. Forward-looking statements involve known and unknown risks, uncertainties and other factors that may cause our actual results, performance or achievements to be materially different from historical results or from any future results expressed or implied by such forward-looking statements. In many cases, you can identify forward-looking statements by terms such as “believes,” “belief,” “expects,” “may,” “will,” “estimates,” “intends,” “anticipates,” or “plans” or the negative of these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upon management’s beliefs, assumptions and current expectations concerning future events and trends, using information currently available, and are necessarily subject to uncertainties, many of which are outside our control. Although we believe that the expectations reflected in the forward-looking statements are reasonable, forward-looking statements are not, and should not be relied upon as a guarantee of future performance or results, nor will they necessarily prove to be accurate indications of the times at or by which any such performance or results will be achieved. A number of important factors could cause actual results to differ materially from those expressed in or implied by the forward-looking statements. These factors include, but are not limited to, the risks associated with reliance on key customers, including the U.S. government, the Company’s use of estimates when accounting for contracts, actions by significant customers or competitors, competitive factors, new products and technological changes, continued acceptance of the Company’s products in the marketplace, dependence upon third-party vendors, product prices and raw material costs, the Company’s ability to attract and retain key employees, general domestic and international economic conditions, health epidemics and pandemics, external disruptions to the Company’s facilities or supply chain, the Company’s operations in a highly regulated industry, the outcome of any litigation and arbitration proceedings, cybersecurity attacks, volatility in the Company’s stock price, including due to the relatively low trading volume of its common stock, and failure to maintain an effective system of internal controls over financial reporting and the other factors discussed in the reports we file with or furnish to the Commission from time to time, including the risks and important factors set forth in additional detail in Item 1A. “Risk Factors” in our Annual Report on Form 10-K for the year ended April 30,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these forward-looking statements. The forward-looking statements included herein are made only as of the date of this prospectus and we undertake no obligation to publicly update or revise any forward-looking statement made by us or on our behalf, whether as a result of new information, future developments, subsequent events or circumstances or otherwise, except as required by law. All subsequent written or oral forward-looking statements attributable to us or individuals acting on our behalf are expressly qualified in their entirety by the cautionary statements referenced above.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 xml:space="preserve">OUR COMPANY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 is a world leader in precision time and frequency generation technology, which is incorporated into commercial and U.S. Government satellites, Command, Control, Communication, Computer, Intelligence, Surveillance and Reconnaissance (“C4ISR”), and Electronic Warfare (“EW”) systems. Its technology is used for a wide range of space and non-space applications. Frequency Electronics was founded in 1961 as a research and development firm generating proprietary precision time and frequency technology primarily under contracts for end-use by the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has its principal executive office at 55 Charles Lindbergh Boulevard, Mitchel Field, New York 11553. Its telephone number is 516-794-4500, and its website is www.frequencyelectronics.com. The information contained on, or otherwise accessible through, our website is not incorporated into, and does not constitute a part of this prospectus, any accompanying prospectus supplement or any other report or document we file with or furnish to the Commission.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5</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 xml:space="preserve">RISK FACTORS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substantial risks. Before purchasing our securities, you should carefully consider the risk factors discussed herein and in our Annual Report on Form 10-K for the year ended April 30, 2025, which are incorporated by reference into this prospectus, as such may be updated and supplemented by our subsequent Commission filings, as well as the risks, uncertainties and additional information set forth in (i) future Commission filings that are deemed incorporated by reference herein and (ii) the applicable prospectus supplement. Each of the risks described could result in a material decrease in the value of our securities and your investment in them. Risks related to any specific securities we or the selling stockholders offer will be described in the applicable prospectus supplement relating to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we expect to use the net proceeds from our sale of offered securities for working capital and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specific allocation of the net proceeds of an offering by us of securities will be determined at the time of such offering and will be described in the accompanying prospectus supplement. In the event that any net proceeds are not immediately applied, we may temporarily hold them as cash, deposit them in banks, or invest them in cash equivalents or securities that our investment policies permit us to invest in from time to time. We will not receive any proceeds from the sale of shares of our common stock by the 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 xml:space="preserve">DESCRIPTION OF SECURITIES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summary descriptions of the securities that we or the selling stockholders may offer from time to time. As further described in this prospectus, these summary descriptions are not meant to be complete descriptions of each security. The particular terms of any security will be described in the accompanying prospectus supplement. The accompanying prospectus supplement may add, update or change the terms and conditions of the securities as described in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 xml:space="preserve">DESCRIPTION OF CAPITAL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is based upon our certificate of incorporation (“Certificate of Incorporation”), our Amended and Restated By-Laws (“By-Laws”) and applicable provisions of Delaware law, in each case, as currently in effect as of the date of this prospectus. The following description is only a summary of the material provisions of our capital stock set forth in our Certificate of Incorporation and our By-Laws and does not purport to be complete, and is subject to and qualified in its entirety by reference to such documents, the information regarding our capital stock incorporated by reference herein from our Commission filings and the applicable provisions of the Delaware General Corporation Law. Copies of our Certificate of Incorporation and our By-Laws have been filed as exhibits to the registration statement of which this prospectus forms a part. See “Where You Can Find More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series of preferred stock we offer will be described in the related prospectus supplement. You should read that description, together with the more detailed provisions of our Certificate of Incorporation and the certificate of designations relating to the particular series of preferred stock. The certificate of designations relating to each particular series of preferred stock will be filed as an exhibit to a document incorporated by reference into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Under the Certificate of Incorporation, our authorized capital stock consists of 20,000,000 shares of common stock, $1.00 par value per share, and 600,000 shares of preferred stock, $1.00 par value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shares of common stock are duly authorized, validly issued, fully-paid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of common stock held on all matters submitted to a vote of stockholders, except as otherwise expressly provided in the Certificate of Incorporation or required by applicable law. The Certificate of Incorporation does not provide for cumulative voting for the election of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receive dividends as may be declared from time to time by our board of directors out of funds legally available therefor and in the sole discretion of our board of directors, except as otherwise provided by law or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Delaware law, in the event of the liquidation, dissolution, or winding-up of the Company, the remaining assets legally available for distribution to stockholders shall be distributed ratably among the holders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have no preemptive rights and no right to convert their common stock into any other securities. Our common stock is not subject to any redemption or sinking fund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144"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shares of preferred stock from time to time in series or otherwise without further stockholder action. Our board of directors has the authority to make designations regarding any preferred stock it issues, including preferences, voting powers and relative, participating, optional or other special rights and qualifications, limitations or restrictions of such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9</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Certificate of Incorporation and the By-Laws and Delaware law could have an anti-takeover effect and could delay, discourage or prevent a tender offer or takeover attempt that a stockholder might consider to be in its best interests, including attempts that might otherwise result in a premium being paid over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and the By-Laws contain provisions that could have the effect of delaying or preventing changes in control or changes in our management without the consent of our board of directors, including, among other things: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in the election of directors, which limits the ability of minority stockholders to elect director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our board of directors to elect a director to fill a vacancy in our board of directors, which prevents stockholders from being able to fill vacancies on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our chairperson of the board of directors, our president or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by majority vote, to amend the By-Laws, which may allow our board of directors to take additional actions to prevent a hostile acquisition and inhibit the ability of an acquirer to amend the By-Laws to facilitate a hostile acquisition;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with which stockholders must comply to nominate candidates to our board of directors or to propose matters to be acted upon at a stockholders’ meeting, which may preclude stockholders from bringing matters before a meeting of stockholders or from making nominations for directors at a meeting of stockholders if the proper procedures are not followed;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business combination with any party that beneficially owns 5% or more of the capital stock then entitled to vote on the election of directors be approved by the affirmative vote of (i) not less than 75% of the outstanding shares of capital stock entitled to vote on the election of directors and (ii) not less than a majority of all outstanding shares of capital stock, in each case, excluding all capital stock owned by the acquiring party and subject to certain exceptions and qualifications provided in the Certificate of Incorporation.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such date, the board of directors of the corporation approved either the business combination or the transaction that resulted in the stockholder becoming an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tc>
      </w:tr>
    </w:tbl>
    <w:p>
      <w:pPr>
        <w:pStyle w:val="TextBody"/>
        <w:bidi w:val="0"/>
        <w:spacing w:before="0" w:after="0"/>
        <w:ind w:left="144" w:right="0" w:firstLine="306"/>
        <w:jc w:val="left"/>
        <w:rPr>
          <w:caps w:val="false"/>
          <w:smallCaps w:val="false"/>
        </w:rPr>
      </w:pPr>
      <w:r>
        <w:rPr>
          <w:caps w:val="false"/>
          <w:smallCaps w:val="false"/>
        </w:rPr>
        <w:t> </w:t>
      </w:r>
    </w:p>
    <w:p>
      <w:pPr>
        <w:pStyle w:val="TextBody"/>
        <w:bidi w:val="0"/>
        <w:spacing w:before="0" w:after="0"/>
        <w:ind w:left="144" w:right="0" w:firstLine="306"/>
        <w:jc w:val="center"/>
        <w:rPr>
          <w:bdr w:val="single" w:sz="12" w:space="1" w:color="000000"/>
        </w:rPr>
      </w:pPr>
      <w:r>
        <w:rPr>
          <w:bdr w:val="single" w:sz="12" w:space="1" w:color="000000"/>
        </w:rPr>
        <w:t>10</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144" w:right="0" w:firstLine="30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144" w:right="0" w:firstLine="306"/>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business combination to include the following:</w:t>
      </w:r>
    </w:p>
    <w:p>
      <w:pPr>
        <w:pStyle w:val="TextBody"/>
        <w:bidi w:val="0"/>
        <w:spacing w:before="0" w:after="0"/>
        <w:ind w:left="144" w:right="0" w:firstLine="72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170"/>
        <w:gridCol w:w="701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involving the corporation and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transfer, pledge, or other disposition of 10% or more of the assets of the corporation involving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any transaction that results in the issuance or transfer by the corporation of any stock of the corporation to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interested stockholder of the benefit of any loss, advances, guarantees, pledges, or other financial benefits by or through the corporation.</w:t>
            </w:r>
          </w:p>
        </w:tc>
      </w:tr>
    </w:tbl>
    <w:p>
      <w:pPr>
        <w:pStyle w:val="TextBody"/>
        <w:bidi w:val="0"/>
        <w:spacing w:before="0" w:after="0"/>
        <w:ind w:left="144" w:right="0" w:firstLine="306"/>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LLC.</w:t>
      </w:r>
    </w:p>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Listing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“FEIM”.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11</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DESCRIPTION OF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some of the general terms and provisions applicable to warrants we may issue from time to time. We will describe the specific terms of any warrants and the applicable warrant agreements in the applicable prospectus supplement. The following description and any description of the warrants in the applicable prospectus supplement may not be complete and is subject to and qualified in its entirety by reference to the terms and provisions of the applicable warrant agreements. Copies of the form of agreement for each warrant and the warrant certificate, if any, which we refer to collectively as “warrant agreements,” and reflecting the provisions to be included in such agreements that will be entered into with respect to a particular offering of each type of warrant, will be filed with the Commission and incorporated by reference as exhibits to the registration statement of which this prospectus is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either separately or together with other securities, warrants for the purchase of any, including any combination of, common stock or preferred stock that we may sell. Warrants may be issued independently, or together with common stock or preferred stock offered by any prospectus supplement and may be attached to or separate from any such offered securities. Any warrants will be issued under warrant agreements to be entered into between us and a bank or trust company, as warrant agent, all to be set forth in the applicable prospectus supplement relating to any or all warrants with respect to which this prospectus is being delivered.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sets forth certain general terms and provisions of the warrants to which any prospectus supplement may relate. The particular terms of such warrants and the extent, if any, to which the general provisions may apply to the warrants so offered will be described in the applicable prospectus supplement. To the extent that any particular terms of the warrants, warrant agreements or warrant certificates described in a prospectus supplement differ from any of the terms described in this section, then the terms described in this section will be deemed to have been superseded by that prospectus supplement. We encourage you to read the applicable warrant agreement for additional information before you purchase any of our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describe the terms of the warrants, as well as the related warrant agreement and warrant certificates, including the following, where applicable:</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5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that may be purchased upon exercise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securities purchasable upon exercise of each warrant;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price at which such number of securities may be purchased upon such exercise (and if such price may be wholly or partly payable in cash or wholly or partly payable with other types of consideration);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designation and terms of the securities, if other than common stock, purchasable upon exercise of the warrants and of any securities, if other than common stock, with which the warrants are issued; </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5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procedures and conditions relating to the exercise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if any, on and after which the warrants, and any securities with which the warrants are issued, will be separately transferable; </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offering price, if any,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70"/>
        <w:gridCol w:w="906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on which the right to exercise the warrants will commence and the date on which that right will expire;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a discussion of the material United States federal income tax considerations applicable to the exercise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the warrants represented by the warrant certificates will be issued in registered or bearer form and, if registered, where they may be transferred and registered; </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the warrants will be listed on any securities exchange; </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call provisions, if any,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anti-dilution provisions, if any,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70"/>
        <w:gridCol w:w="28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name of the warrant agent; and </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material terms of the warrants.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Rights of Security Holder Prior to Exercise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exercise of their warrants and their registration as holders of the underlying securities, holders of warrants will not have any of the rights of registered holders of the underlying securities purchasable upon the exercise of the warrants, and will not be entitled to, among other things, vote or receive dividend or interest payments or similar distributions on the securities purchasable upon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12</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0a"/>
      <w:bookmarkEnd w:id="13"/>
      <w:r>
        <w:rPr>
          <w:rFonts w:ascii="Times New Roman;Times;Serif" w:hAnsi="Times New Roman;Times;Serif"/>
          <w:b/>
          <w:i w:val="false"/>
          <w:caps w:val="false"/>
          <w:smallCaps w:val="false"/>
          <w:sz w:val="20"/>
        </w:rPr>
        <w:t>SELLING STOCKHOLDERS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covering offerings by our Company, this prospectus also relates to the potential sale by certain of our stockholders, who we refer to in this prospectus as the “selling stockholders,” of up to </w:t>
        <w:tab/>
        <w:t xml:space="preserve">         shares of our common stock that were issued and outstanding prior to the original date of filing of the registration statement of which this prospectus forms a part. The selling stockholders acquired the shares included in this prospectus in open market transactions not involving the Company from 2012 to 2024. The selling stockholders may also include donees, transferees or other successors in interest to   stockholders who originally acquired their shares of our common stock pursuant to those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selling stockholders, where applicable, including their identities, the number of shares of our common stock owned by each selling stockholder prior to the offering, the number of shares of our common stock to be offered by each selling stockholder and the number of shares of our common stock to be owned by each selling stockholder after completion of the offering, will be set forth in an applicable prospectus supplement. The applicable prospectus supplement will also disclose whether any of the selling stockholders has held any position or office with, has been employed by, or otherwise has had a material relationship with, us during the three years prior to the date of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registration statement of which this prospectus forms a part registers the sale of their shares of our common stock, the selling stockholders may alternatively sell or transfer all or a portion of their shares pursuant to any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our common stock by selling stockholders.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13</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1"/>
      <w:bookmarkEnd w:id="14"/>
      <w:r>
        <w:rPr>
          <w:rFonts w:ascii="Times New Roman;Times;Serif" w:hAnsi="Times New Roman;Times;Serif"/>
          <w:b/>
          <w:i w:val="false"/>
          <w:caps w:val="false"/>
          <w:smallCaps w:val="false"/>
          <w:sz w:val="20"/>
        </w:rPr>
        <w:t>PLAN OF DISTRIBUTION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use this prospectus and any accompanying prospectus supplement to sell our securities from time to time in one or more transactions as follows:</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directly to one or more purchasers; </w:t>
            </w:r>
          </w:p>
        </w:tc>
      </w:tr>
    </w:tbl>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170"/>
        <w:gridCol w:w="225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or through underwriters;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or through dealers, who may act as agents or principals, including a block trade (which may involve crosses) in which a broker or dealer so engaged will attempt to sell as agent but may position and resell a portion of the block as principal to facilitate the transaction;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agents;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 solicits purchasers;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“at-the-market” offerings within the meaning of Rule 415(a)(4) under the Securities Act, to or through a market maker or into an existing trading market, on an exchange or otherwise; </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4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any combination of these methods of sale; or </w:t>
            </w:r>
          </w:p>
        </w:tc>
      </w:tr>
    </w:tbl>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70"/>
        <w:gridCol w:w="79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any other method permitted by applicable law and described in a prospectus supplement.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relating to an offering of securities will set forth the specific plan of distribution and state the terms of the offering, including:</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170"/>
        <w:gridCol w:w="482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method of distribution of the securities offered therein;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underwriters, dealers, or agents;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selling stockholders, where applicable, including their identities, the number of shares of our common stock owned by each selling stockholder prior to the offering, the number of shares of our common stock to be offered by each selling stockholder and the number of shares of our common stock to be owned by each selling stockholder after completion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public offering or purchase price of the offered securities and the net proceeds that we or the selling stockholders will receive from the sale; </w:t>
            </w:r>
          </w:p>
        </w:tc>
      </w:tr>
    </w:tbl>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5"/>
        <w:gridCol w:w="170"/>
        <w:gridCol w:w="798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underwriting discounts, commissions or other items constituting underwriters’ compensation; </w:t>
            </w:r>
          </w:p>
        </w:tc>
      </w:tr>
    </w:tbl>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discounts, commissions, or fees allowed, re-allowed or paid to dealers or agents; and </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5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securities exchange on which the offered securities may be listed.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initial public offering price and any discounts, commissions, fees or concessions allowed or re-allowed or paid to underwriters, dealers, or agents may be changed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14</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 Through Underwriters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and sell our securities from time to time to one or more underwriters who would purchase the securities as principal for resale to the public, either on a firm commitment or best efforts basis. If underwriters are used in the sale of our securities, we will execute an underwriting agreement with them at the time of the sale and will name them in the applicable prospectus supplement. In connection with these sales, the underwriters may be deemed to have received compensation from us or the selling stockholders in the form of underwriting discounts and commissions. The underwriters also may receive commissions from purchasers of securities for whom they may act as agent. Unless we specify otherwise in the applicable prospectus supplement, the underwriters will not be obligated to purchase the securities unless the conditions set forth in the underwriting agreement are satisfied, and if the underwriters purchase any of the securities, they generally will be required to purchase all of the offered securities. The underwriters may acquire the securities for their own account and may resell the securities from time to time in one or more transactions, including negotiated transactions, at a fixed public offering price or varying prices determined at the time of sale. The underwriters may sell the offered securities to or through dealers, and those dealers may receive discounts, concessions, or commissions from the underwriters as well as from the purchasers for whom they may act as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 Through Dealers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and sell securities from time to time to one or more dealers who would purchase the securities as principal. The dealers then may resell the offered securities to the public at fixed or varying prices to be determined by those dealers at the time of resale. We will set forth the names of any dealers and the terms of the transaction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 Through Agents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and sell our securities on a continuous basis through agents that become parties to an underwriting or distribution agreement. We will name any agent involved in the offer and sale, and describe any commissions payable by us or the selling stockholders in the applicable prospectus supplement. Unless we specify otherwise in the applicable prospectus supplement, the agent will be acting on a best efforts basis during the appointment period. The agent may make sales in privately negotiated transactions and by any other method permitted by law, including sales deemed to be an “at-the-market” offering as defined in Rule 415 promulgated under the Securities Act, including sales made directly on The Nasdaq Global Market, or sales made to or through a market maker other than on an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 Sales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sell directly to, and solicit offers from, institutional investors or others who may be deemed to be underwriters, as defined in the Securities Act, for any resale of the securities. We will describe the terms of any sales of this kind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Information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dealers or agents participating in an offering of securities may be deemed to be underwriters, and any discounts and commissions received by them and any profit realized by them on resale of the offered securities, may be deemed to be underwriting discounts and commissions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to sell securities either at a fixed price or at prices that may vary, at market prices prevailing at the time of sale, at prices related to prevailing market prices, or at negotiated prices. Securities may be sold in connection with a remarketing after their purchase by one or more firms acting as principal for their own accounts or as our agent. In addition, we may issue the securities as a dividend or distribution to our existing security 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 underwritten offering of the securities, the underwriters may engage in over-allotment, stabilizing transactions and syndicate covering transactions in accordance with Regulation M under the Exchange Act. Over-allotment involves sales in excess of the offering size, which creates a short position for the underwriters. The underwriters may enter bids for, and purchase, securities in the open market in order to stabilize the price of the securities. Syndicate covering transactions involve purchases of the securities in the open market after the distribution has been completed in order to cover short positions. In addition,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These activities may cause the price of the securities to be higher than it would otherwise be. Those activities, if commenced, may be discontinued at any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15</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Ordinarily, each issue of securities offered by us will be a new issue, and there will be no established trading market for any security other than our common stock, which is listed on The Nasdaq Global Market under the symbol “FEIM,” prior to its original issue date. We may not list any particular series of securities on a securities exchange or quotation system. Any underwriters to whom or agents through whom the offered securities are sold for offering and sale may make a market in the offered securities. However, any underwriters or agents that make a market will not be obligated to do so and may stop doing so at any time without notice. We cannot assure you that there will be a liquid trading market for the offered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authorize underwriters, dealers or agents to solicit offers by certain purchasers to purchase the securities from us or the selling stockholders at the public offering price set forth in the applicable prospectus supplement pursuant to delayed delivery contracts providing for payment and delivery on a specified date in the future. The contracts will be subject only to those conditions set forth in the related prospectus supplement, and the related prospectus supplement will set forth any commissions we pay for solicitation of these contracts.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that may be entered into with us or the selling stockholders, underwriters, dealers and agents who participate in the distribution of the securities may be entitled to indemnification by us or the selling stockholders against certain civil liabilities, including liabilities under the Securities Act, or to contribution with respect to payments which the underwriters, dealers or agents may be required to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Conflict of Interest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engage underwriters, dealers and agents in connection with the offering of any of the securities described in this prospectus, some of whom may have a “conflict of interest,” as such term is defined by the Financial Industry Regulatory Authority, Inc. In the event an underwriter, dealer or agent who is participating in the offering has a conflict of interest, we will describe the nature of the conflict in the applicable prospectus supplement, and, if applicable, the name of the underwriter, dealer or agent who is acting as the “qualified independent underwriter” and its role and responsibilities in the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that we may use, as well as their affiliates, may engage in financial or other business transactions with, or perform other services for, us, our subsidiaries and the selling stockholders in the ordinary course of business and may receive a portion of the proceeds from 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2"/>
      <w:bookmarkEnd w:id="15"/>
      <w:r>
        <w:rPr>
          <w:rFonts w:ascii="Times New Roman;Times;Serif" w:hAnsi="Times New Roman;Times;Serif"/>
          <w:b/>
          <w:i w:val="false"/>
          <w:caps w:val="false"/>
          <w:smallCaps w:val="false"/>
          <w:sz w:val="20"/>
        </w:rPr>
        <w:t xml:space="preserve">LEGAL MATTERS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validity of the securities offered hereby will be passed upon for us by McGuireWoods LLP, Richmond, Virginia. Any underwriters, dealers or agents will be advised by their own legal counsel concerning issues related to the offering of securities pursuant to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3"/>
      <w:bookmarkEnd w:id="16"/>
      <w:r>
        <w:rPr>
          <w:rFonts w:ascii="Times New Roman;Times;Serif" w:hAnsi="Times New Roman;Times;Serif"/>
          <w:b/>
          <w:i w:val="false"/>
          <w:caps w:val="false"/>
          <w:smallCaps w:val="false"/>
          <w:sz w:val="20"/>
        </w:rPr>
        <w:t>EXPERTS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16</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NOT REQUIRED IN THE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w:t>
      </w:r>
      <w:r>
        <w:rPr>
          <w:rFonts w:ascii="Times New Roman;Times;Serif" w:hAnsi="Times New Roman;Times;Serif"/>
          <w:b/>
          <w:i/>
          <w:caps w:val="false"/>
          <w:smallCaps w:val="false"/>
          <w:sz w:val="20"/>
        </w:rPr>
        <w:t xml:space="preserve">OTHER EXPENSES OF ISSUANCE AND DISTRIBUTION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an estimate (except in the case of the registration fee) of the amount of fees and expenses to be incurred in connection with the issuance and distribution of the offered securities registered hereby, other than underwriting discounts and commission, if any, incurred in connection with the sale of the offered securities.</w:t>
      </w:r>
    </w:p>
    <w:p>
      <w:pPr>
        <w:pStyle w:val="TextBody"/>
        <w:bidi w:val="0"/>
        <w:spacing w:before="0" w:after="0"/>
        <w:ind w:left="0" w:right="0" w:hanging="0"/>
        <w:jc w:val="left"/>
        <w:rPr>
          <w:caps w:val="false"/>
          <w:smallCaps w:val="false"/>
        </w:rPr>
      </w:pPr>
      <w:r>
        <w:rPr>
          <w:caps w:val="false"/>
          <w:smallCaps w:val="false"/>
        </w:rPr>
        <w:t> </w:t>
      </w:r>
    </w:p>
    <w:tbl>
      <w:tblPr>
        <w:tblW w:w="5640" w:type="dxa"/>
        <w:jc w:val="left"/>
        <w:tblInd w:w="0" w:type="dxa"/>
        <w:tblLayout w:type="fixed"/>
        <w:tblCellMar>
          <w:top w:w="0" w:type="dxa"/>
          <w:left w:w="0" w:type="dxa"/>
          <w:bottom w:w="0" w:type="dxa"/>
          <w:right w:w="0" w:type="dxa"/>
        </w:tblCellMar>
      </w:tblPr>
      <w:tblGrid>
        <w:gridCol w:w="5060"/>
        <w:gridCol w:w="60"/>
        <w:gridCol w:w="140"/>
        <w:gridCol w:w="305"/>
        <w:gridCol w:w="75"/>
      </w:tblGrid>
      <w:tr>
        <w:trPr/>
        <w:tc>
          <w:tcPr>
            <w:tcW w:w="5060" w:type="dxa"/>
            <w:tcBorders/>
            <w:shd w:fill="CCEE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Miscellaneous (including transfer agent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9"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Estimated expenses are not presently known. Estimated fees and expenses associated with future offerings will be provided in the applicable prospectus supplement. </w:t>
            </w:r>
          </w:p>
        </w:tc>
      </w:tr>
      <w:tr>
        <w:trPr/>
        <w:tc>
          <w:tcPr>
            <w:tcW w:w="21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be completed by amendment.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w:t>
      </w:r>
      <w:r>
        <w:rPr>
          <w:rFonts w:ascii="Times New Roman;Times;Serif" w:hAnsi="Times New Roman;Times;Serif"/>
          <w:b/>
          <w:i/>
          <w:caps w:val="false"/>
          <w:smallCaps w:val="false"/>
          <w:sz w:val="20"/>
        </w:rPr>
        <w:t>INDEMNIFICATION OF DIRECTORS AND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145(a) and (b) of the Delaware General Corporation Law (“DGCL”) provide generally that a corporation has the power to indemnify its officers, directors, employees and agents against expenses, including attorneys’ fees, judgments, fines and settlement amounts actually and reasonably incurred by them in connection with the defense of any action by reason of being or having been directors, officers, employees or agents of the corporation (or serving or having served in such positions in another entity at the request of the corporation) if such person shall have acted in good faith and in a manner the person reasonably believed to be in or not opposed to the best interests of the corporation (and, with respect to any criminal action, had no reasonable cause to believe the person’s conduct was unlawful), provided that in the event of any action or suit by or in the right of the corporation to procure a judgment in its favor, the corporation may indemnify against expenses, including attorneys’ fees, actually and reasonably incurred by such person, except that no such indemnification shall be provided as to any claim, issue or matter as to which such person shall have been judged to have been liable to the corporation unless and only to the extent that the Court of Chancery of the State of Delaware, or another court in which the suit was brought, shall determine upon application that, despite the adjudication of liability but in view of all of the circumstances of the case, such person is fairly and reasonably entitled to indemnity for such expenses which the Court of Chancery or such other court deems proper.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145(c) of the DGCL provides that to the extent that a present or former director or officer of a corporation has been successful on the merits or otherwise in defense of any action, suit or proceeding referred to in Sections 145(a) and (b) of the DGCL, as described in the preceding paragraph, or in defense of any claim, issue or matter therein, such person shall be indemnified against expenses, including attorneys’ fees, actually and reasonably incurred by such person in connection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DGCL, the Company’s Certificate of Incorporation, as amended, provides that a director shall not be personally liable to the Company or its stockholders for monetary damages for breach of fiduciary duty as a director, except that a director may be liable (i) for any breach of the director’s duty of loyalty to the Company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permitted by the DGCL, the Company’s By-Laws and Certificate of Incorporation, as amended, provide that the Company will indemnify its directors and officers to the fullest extent permitted by applicable law. Further, the Company’s By-Laws provide that the Company will, to the fullest extent not prohibited by applicable law, pay the expenses, including attorneys’ fees, incurred by a director or officer in defending any proceeding in advance of its final disposition, provided, however, that, to the extent required by law, such payment of expenses in advance of the final disposition of the proceeding shall be made only upon receipt of an undertaking by the applicable person to repay all amounts advanced if it should be ultimately determined that he or she is not entitled to be indemnified.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II-1</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16. </w:t>
      </w:r>
      <w:r>
        <w:rPr>
          <w:rFonts w:ascii="Times New Roman;Times;Serif" w:hAnsi="Times New Roman;Times;Serif"/>
          <w:b/>
          <w:i/>
          <w:caps w:val="false"/>
          <w:smallCaps w:val="false"/>
          <w:sz w:val="20"/>
        </w:rPr>
        <w:t>EXHIBITS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herewith or incorporated by reference herein as indicated: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left"/>
              <w:rPr>
                <w:rFonts w:ascii="Times New Roman;Times;Serif" w:hAnsi="Times New Roman;Times;Serif"/>
                <w:b/>
                <w:strike w:val="false"/>
                <w:dstrike w:val="false"/>
                <w:sz w:val="20"/>
                <w:u w:val="none"/>
                <w:effect w:val="none"/>
              </w:rPr>
            </w:pPr>
            <w:r>
              <w:rPr>
                <w:rFonts w:ascii="Times New Roman;Times;Serif" w:hAnsi="Times New Roman;Times;Serif"/>
                <w:b/>
                <w:strike w:val="false"/>
                <w:dstrike w:val="false"/>
                <w:sz w:val="20"/>
                <w:u w:val="none"/>
                <w:effect w:val="none"/>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Underwriting Agreement.**</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Stock Purchase Agreement, dated as of February 21, 2012, by and among the Registrant, Elcom Technologies Inc. and the stockholders of Elcom Technologies Inc. identified on the signature pages thereto. (Incorporated by reference to Exhibit 2.1 to Registrant’s Current Report on Form 8-K, File No. 001-08061, filed on February 27, 2012.)</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Copy of Certificate of Incorporation of the Registrant filed with the Secretary of State of Delaware. (Incorporated by reference to Exhibit 3.1 to Registrant’s registration statement on Form S-1, File No. 2-29609.)</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to Certificate of Incorporation of the Registrant filed with the Secretary of State of Delaware on March 27, 1981. (Incorporated by reference to Exhibit 3.2 to Registrant’s registration statement on Form S-1, File No. 2-71727.)</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to Certificate of Incorporation of the Registrant filed with the Secretary of State of Delaware on October 26, 1984. (Incorporated by reference to Exhibit 3.3 to Registrant’s Annual Report on Form 10-K for the year ended April 30, 1985, File No. 001-08061.)</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to Certificate of Incorporation of the Registrant filed with the Secretary of State of Delaware on October 22, 1986. (Incorporated by reference to Exhibit 3.4 to Registrant’s Annual Report on Form 10-K for the year ended April 30, 1987, File No. 001-08061.)</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Amended and Restated Certificate of Incorporation of the Registrant filed with the Secretary of State of Delaware on October 26, 1987. (Incorporated by reference to Exhibit 3.5 to Registrant’s Annual Report on Form 10-K for the year ended April 30, 1990, File No. 001-08061.)</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Amended Certificate of Incorporation of the Registrant filed with the Secretary of State of Delaware on November 2, 1989. (Incorporated by reference to Exhibit 3.6 to Registrant’s Annual Report on Form 10-K for the year ended April 30, 1990, File No. 001-08061.)</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Amended and Restated By-Laws of the Registrant, as amended. (Incorporated by reference to Exhibit 3.1 to Registrant’s Current Report on Form 8-K, File No. 001-08061, filed on June 25, 2020.)</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Specimen of Common Stock certificate. (Incorporated by reference to Exhibit 4.1 to Registrant’s registration statement on Form S-1, File No. 2-29609.)</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Certificate of Designation (for Preferred Stock).**</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Specimen Preferred Stock Certificate.**</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Warrant Agreement.**</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Warrant Certificate.**</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Opinion of McGuireWoods LLP.** </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 of Grant Thornton LLP.**</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Consent of McGuireWoods LLP (included in Exhibit 5.1).** </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Power of Attorney (included on signature page).** </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Filing Fee Table.**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9"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1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be filed, if necessary, by amendment to this Registration Statement or as an exhibit to a report filed under the Exchange Act and incorporated herein by reference.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II-2</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17. </w:t>
      </w:r>
      <w:r>
        <w:rPr>
          <w:rFonts w:ascii="Times New Roman;Times;Serif" w:hAnsi="Times New Roman;Times;Serif"/>
          <w:b/>
          <w:i/>
          <w:caps w:val="false"/>
          <w:smallCaps w:val="false"/>
          <w:sz w:val="20"/>
        </w:rPr>
        <w:t xml:space="preserve">UNDERTAKINGS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489"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101"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101"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101"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1101" w:right="0" w:hanging="0"/>
        <w:jc w:val="left"/>
        <w:rPr>
          <w:caps w:val="false"/>
          <w:smallCaps w:val="false"/>
        </w:rPr>
      </w:pPr>
      <w:r>
        <w:rPr>
          <w:caps w:val="false"/>
          <w:smallCaps w:val="false"/>
        </w:rPr>
        <w:t> </w:t>
      </w:r>
    </w:p>
    <w:p>
      <w:pPr>
        <w:pStyle w:val="TextBody"/>
        <w:bidi w:val="0"/>
        <w:spacing w:before="0" w:after="0"/>
        <w:ind w:left="110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 that</w:t>
      </w:r>
      <w:r>
        <w:rPr>
          <w:rFonts w:ascii="Times New Roman;Times;Serif" w:hAnsi="Times New Roman;Times;Serif"/>
          <w:b w:val="false"/>
          <w:i w:val="false"/>
          <w:caps w:val="false"/>
          <w:smallCaps w:val="false"/>
          <w:sz w:val="20"/>
        </w:rPr>
        <w: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489"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489"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489"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01"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this Registration Statement as of the date the filed prospectus was deemed part of and included in the registration statement; and</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101"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489" w:right="0" w:firstLine="360"/>
        <w:jc w:val="center"/>
        <w:rPr>
          <w:bdr w:val="single" w:sz="12" w:space="1" w:color="000000"/>
        </w:rPr>
      </w:pPr>
      <w:r>
        <w:rPr>
          <w:bdr w:val="single" w:sz="12" w:space="1" w:color="000000"/>
        </w:rPr>
        <w:t>II-3</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489"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to any purchaser in the initial distribution of the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101"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101"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101"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1101" w:right="0" w:firstLine="360"/>
        <w:jc w:val="left"/>
        <w:rPr>
          <w:caps w:val="false"/>
          <w:smallCaps w:val="false"/>
        </w:rPr>
      </w:pPr>
      <w:r>
        <w:rPr>
          <w:caps w:val="false"/>
          <w:smallCaps w:val="false"/>
        </w:rPr>
        <w:t> </w:t>
      </w:r>
    </w:p>
    <w:p>
      <w:pPr>
        <w:pStyle w:val="TextBody"/>
        <w:bidi w:val="0"/>
        <w:spacing w:before="0" w:after="0"/>
        <w:ind w:left="1101"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II-4</w:t>
      </w:r>
    </w:p>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confidentially submitted to the Securities and Exchange Commission on June 18, 2026. This draft registration statement has not been publicly filed with the Securities and Exchange Commission and all information herein remains strictly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Mitchel Field, State of New York, on</w:t>
        <w:tab/>
        <w:t>        , 2026.</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320"/>
        <w:gridCol w:w="3875"/>
      </w:tblGrid>
      <w:tr>
        <w:trPr/>
        <w:tc>
          <w:tcPr>
            <w:tcW w:w="75" w:type="dxa"/>
            <w:tcBorders/>
            <w:vAlign w:val="center"/>
          </w:tcPr>
          <w:p>
            <w:pPr>
              <w:pStyle w:val="TableContents"/>
              <w:bidi w:val="0"/>
              <w:spacing w:before="0" w:after="283"/>
              <w:ind w:left="0" w:right="0" w:hanging="0"/>
              <w:jc w:val="left"/>
              <w:rPr/>
            </w:pPr>
            <w:r>
              <w:rPr/>
              <w:t> </w:t>
            </w:r>
          </w:p>
        </w:tc>
        <w:tc>
          <w:tcPr>
            <w:tcW w:w="41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L. Bernstein</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POWER OF ATTORNEY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each of Thomas McClelland and Steven L. Bernstein, or either of them, his or her true and lawful attorney-in-fact and agent, with full power of substitution and resubstitution, for him or her and in his or her name, place and stead, in any and all capacities, to sign any and all amendments (including post-effective amendments and registrations filed pursuant to Rule 462 under the Securities Act)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or substitute, may lawfully do or cause to be done by virtue 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below by the following persons in the capacities indicated on</w:t>
        <w:tab/>
        <w:t>        , 2026.</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28" w:type="dxa"/>
          <w:right w:w="0" w:type="dxa"/>
        </w:tblCellMar>
      </w:tblPr>
      <w:tblGrid>
        <w:gridCol w:w="1700"/>
        <w:gridCol w:w="60"/>
        <w:gridCol w:w="3965"/>
      </w:tblGrid>
      <w:tr>
        <w:trPr/>
        <w:tc>
          <w:tcPr>
            <w:tcW w:w="1700"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70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r>
      <w:tr>
        <w:trPr/>
        <w:tc>
          <w:tcPr>
            <w:tcW w:w="1700" w:type="dxa"/>
            <w:tcBorders>
              <w:bottom w:val="single" w:sz="8" w:space="0" w:color="000000"/>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r>
      <w:tr>
        <w:trPr/>
        <w:tc>
          <w:tcPr>
            <w:tcW w:w="170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McClelland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(principal executive officer)</w:t>
            </w:r>
          </w:p>
        </w:tc>
      </w:tr>
      <w:tr>
        <w:trPr/>
        <w:tc>
          <w:tcPr>
            <w:tcW w:w="170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r>
      <w:tr>
        <w:trPr/>
        <w:tc>
          <w:tcPr>
            <w:tcW w:w="1700" w:type="dxa"/>
            <w:tcBorders>
              <w:bottom w:val="single" w:sz="8" w:space="0" w:color="000000"/>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  </w:t>
            </w:r>
          </w:p>
        </w:tc>
      </w:tr>
      <w:tr>
        <w:trPr/>
        <w:tc>
          <w:tcPr>
            <w:tcW w:w="170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L. Bernstein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(principal financial and accounting officer)</w:t>
            </w:r>
          </w:p>
        </w:tc>
      </w:tr>
      <w:tr>
        <w:trPr/>
        <w:tc>
          <w:tcPr>
            <w:tcW w:w="170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r>
      <w:tr>
        <w:trPr/>
        <w:tc>
          <w:tcPr>
            <w:tcW w:w="1700" w:type="dxa"/>
            <w:tcBorders>
              <w:bottom w:val="single" w:sz="8" w:space="0" w:color="000000"/>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0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Russell M. Sarachek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70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r>
      <w:tr>
        <w:trPr/>
        <w:tc>
          <w:tcPr>
            <w:tcW w:w="1700" w:type="dxa"/>
            <w:tcBorders>
              <w:bottom w:val="single" w:sz="8" w:space="0" w:color="000000"/>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0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Schwartz</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70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r>
      <w:tr>
        <w:trPr/>
        <w:tc>
          <w:tcPr>
            <w:tcW w:w="1700" w:type="dxa"/>
            <w:tcBorders>
              <w:bottom w:val="single" w:sz="8" w:space="0" w:color="000000"/>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Director</w:t>
            </w:r>
          </w:p>
        </w:tc>
      </w:tr>
      <w:tr>
        <w:trPr/>
        <w:tc>
          <w:tcPr>
            <w:tcW w:w="170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Brolin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70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r>
      <w:tr>
        <w:trPr/>
        <w:tc>
          <w:tcPr>
            <w:tcW w:w="1700" w:type="dxa"/>
            <w:tcBorders>
              <w:bottom w:val="single" w:sz="8" w:space="0" w:color="000000"/>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0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Lance W. Lord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rFonts w:ascii="Times New Roman;Times;Serif" w:hAnsi="Times New Roman;Times;Serif"/>
        </w:rPr>
      </w:pPr>
      <w:r>
        <w:rPr>
          <w:rFonts w:ascii="Times New Roman;Times;Serif" w:hAnsi="Times New Roman;Times;Serif"/>
        </w:rPr>
        <w:t>II-5</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39020/000118518525000806/feim10k043025.htm" TargetMode="External"/><Relationship Id="rId4" Type="http://schemas.openxmlformats.org/officeDocument/2006/relationships/hyperlink" Target="http://www.sec.gov/ix?doc=/Archives/edgar/data/39020/000118518525001084/feimdef14a082625.htm" TargetMode="External"/><Relationship Id="rId5" Type="http://schemas.openxmlformats.org/officeDocument/2006/relationships/hyperlink" Target="http://www.sec.gov/ix?doc=/Archives/edgar/data/39020/000118518525001203/feim10q073125.htm" TargetMode="External"/><Relationship Id="rId6" Type="http://schemas.openxmlformats.org/officeDocument/2006/relationships/hyperlink" Target="http://www.sec.gov/ix?doc=/Archives/edgar/data/39020/000118518525002057/feim10q103125.htm" TargetMode="External"/><Relationship Id="rId7" Type="http://schemas.openxmlformats.org/officeDocument/2006/relationships/hyperlink" Target="http://www.sec.gov/ix?doc=/Archives/edgar/data/39020/000118518526000893/feim10q013126.htm" TargetMode="External"/><Relationship Id="rId8" Type="http://schemas.openxmlformats.org/officeDocument/2006/relationships/hyperlink" Target="http://www.sec.gov/ix?doc=/Archives/edgar/data/39020/000118518525001174/feim8k091125.htm" TargetMode="External"/><Relationship Id="rId9" Type="http://schemas.openxmlformats.org/officeDocument/2006/relationships/hyperlink" Target="http://www.sec.gov/ix?doc=/Archives/edgar/data/39020/000118518525001405/feim8k100925.htm" TargetMode="External"/><Relationship Id="rId10" Type="http://schemas.openxmlformats.org/officeDocument/2006/relationships/hyperlink" Target="http://www.sec.gov/ix?doc=/Archives/edgar/data/39020/000118518526002498/feim8k061226.htm" TargetMode="External"/><Relationship Id="rId11" Type="http://schemas.openxmlformats.org/officeDocument/2006/relationships/hyperlink" Target="http://www.sec.gov/Archives/edgar/data/39020/000118518521000886/ex_260110.htm" TargetMode="External"/><Relationship Id="rId12" Type="http://schemas.openxmlformats.org/officeDocument/2006/relationships/hyperlink" Target="https://www.sec.gov/Archives/edgar/data/39020/000118518525000806/feim10k043025.htm" TargetMode="External"/><Relationship Id="rId13" Type="http://schemas.openxmlformats.org/officeDocument/2006/relationships/hyperlink" Target="https://www.sec.gov/Archives/edgar/data/39020/000114420412011172/v303671_ex2-1.htm" TargetMode="External"/><Relationship Id="rId14" Type="http://schemas.openxmlformats.org/officeDocument/2006/relationships/hyperlink" Target="https://www.sec.gov/Archives/edgar/data/39020/000118518520000896/ex_19162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11377</Words>
  <Characters>61823</Characters>
  <CharactersWithSpaces>73533</CharactersWithSpaces>
  <Paragraphs>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