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feims3071326.htm"/>
      <w:bookmarkStart w:id="1" w:name="ksfeims3071326"/>
      <w:bookmarkEnd w:id="0"/>
      <w:bookmarkEnd w:id="1"/>
      <w:r>
        <w:rPr>
          <w:b/>
        </w:rPr>
        <w:t xml:space="preserve">As filed with the Securities and Exchange Commission on July 17,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2"/>
        </w:rPr>
        <w:t>SECURITIES AND EXCHANGE COMMISSION</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2"/>
        </w:rPr>
        <w:t>Form S-3</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FREQUENCY 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8"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11-1986657</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Charles Lindbergh Blvd.</w:t>
        <w:br/>
        <w:t>Mitchel Field, New York 11553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794-4500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including zip code, and telephone number, including area code, of registrant’s principal executive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L. Bernstein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Secretary and Treasurer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55 Charles Lindbergh Blvd.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Mitchel Field, New York 11553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794-4500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including zip code, and telephone number, including area code, of agent for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Please send copies of all notices, orders and communications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Lawton B. Way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Lake Taylor, Jr.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McGuireWoods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Gateway Plaza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800 East Canal Street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Richmond, Virginia 23219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(804) 775-1000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the effective date of this Registration Statement as determined by market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for pursuant to Section 7(a)(2)(B) of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shd w:fill="FFFFFF" w:val="clear"/>
        <w:bidi w:val="0"/>
        <w:spacing w:before="0" w:after="0"/>
        <w:ind w:left="0" w:right="0" w:hanging="0"/>
        <w:jc w:val="left"/>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SUBJECT TO COMPLETION, DATED </w:t>
        <w:tab/>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809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$100,000,000 of Common Stock, Preferred Stock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and/or Warrants Offered by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1,000,000 Shares of Common Stock Offered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may offer and sell, together or separately, up to $100,000,000 in aggregate offering price of our common stock, preferred stock or warrants to purchase common stock or preferred stock, or a combination thereof from time to time in one or more offerings. In addition, selling stockholders may offer and sell up to 1,000,000 shares of our common stock, in the aggregate, from time to time in one or more offerings. In this prospectus, we refer to our common stock, preferred stock and warrants that we may offer and sell, together with the shares of our common stock that the selling stockholders may offer and sell, collectively as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pursuant to this prospectus may be sold at prevailing market prices or at prices different than prevailing market prices. We or the selling stockholders may offer and sell these securities to or through one or more underwriters, dealers or agents, or directly to purchasers, on a delayed or continuous basis. This prospectus describes some of the general terms that apply to the securities. For general information about the distribution of securities offered, see “Plan of Distribution” in this prospectus. Each time our securities are offered under this prospectus, we will provide a prospectus supplement containing more specific information about the particular offering. We also may authorize one or more free writing prospectuses to be provided to you in connection with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each offering will describe the plan of distribution for that offering. The prospectus supplement also will set forth the price to the public of the securities and the net proceeds that we expect to receive from the sale of any securities we are offering. We will not receive any proceeds from the sale of shares of our common stock by the selling stockholders. The prospectus supplement and any free writing prospectus may also add, update or change information contained or incorporated in this prospectus. You should carefully read this prospectus and any accompanying prospectus supplement, together with the documents we incorporate by reference, before you invest in our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our securities through one or more underwriters, dealers or agents that we select. If underwriters, dealers or agents are used to sell securities, we will name them and describe their compensation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ticker symbol “FEIM.” On July 16, 2026, the last reported sale price for our common stock on The Nasdaq Global Market was $56.13 per share. Each prospectus supplement will indicate whether the securities offered thereby will be listed on any securities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substantial risks. You should carefully read and consider “Risk Factors” on page 5 before investing in our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245"/>
        <w:gridCol w:w="60"/>
        <w:gridCol w:w="275"/>
      </w:tblGrid>
      <w:tr>
        <w:trPr/>
        <w:tc>
          <w:tcPr>
            <w:tcW w:w="624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w:t>
            </w:r>
          </w:p>
        </w:tc>
      </w:tr>
      <w:tr>
        <w:trPr/>
        <w:tc>
          <w:tcPr>
            <w:tcW w:w="6245" w:type="dxa"/>
            <w:tcBorders/>
            <w:vAlign w:val="center"/>
          </w:tcPr>
          <w:p>
            <w:pPr>
              <w:pStyle w:val="TableContents"/>
              <w:bidi w:val="0"/>
              <w:spacing w:before="0" w:after="283"/>
              <w:jc w:val="left"/>
              <w:rPr/>
            </w:pPr>
            <w:hyperlink w:anchor="a_002">
              <w:r>
                <w:rPr>
                  <w:rStyle w:val="InternetLink"/>
                  <w:sz w:val="20"/>
                </w:rPr>
                <w:t>INCORPORATION OF CERTAIN DOCUMENTS BY REFERENCE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2</w:t>
            </w:r>
          </w:p>
        </w:tc>
      </w:tr>
      <w:tr>
        <w:trPr/>
        <w:tc>
          <w:tcPr>
            <w:tcW w:w="6245" w:type="dxa"/>
            <w:tcBorders/>
            <w:vAlign w:val="center"/>
          </w:tcPr>
          <w:p>
            <w:pPr>
              <w:pStyle w:val="TableContents"/>
              <w:bidi w:val="0"/>
              <w:spacing w:before="0" w:after="283"/>
              <w:jc w:val="left"/>
              <w:rPr/>
            </w:pPr>
            <w:hyperlink w:anchor="a_003">
              <w:r>
                <w:rPr>
                  <w:rStyle w:val="InternetLink"/>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4">
              <w:r>
                <w:rPr>
                  <w:rStyle w:val="InternetLink"/>
                  <w:sz w:val="20"/>
                </w:rPr>
                <w:t>CAUTIONARY NOTE REGARDING FORWARD-LOOKING STATEMENTS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5">
              <w:r>
                <w:rPr>
                  <w:rStyle w:val="InternetLink"/>
                  <w:sz w:val="20"/>
                </w:rPr>
                <w:t>OUR COMPANY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4</w:t>
            </w:r>
          </w:p>
        </w:tc>
      </w:tr>
      <w:tr>
        <w:trPr/>
        <w:tc>
          <w:tcPr>
            <w:tcW w:w="6245" w:type="dxa"/>
            <w:tcBorders/>
            <w:vAlign w:val="center"/>
          </w:tcPr>
          <w:p>
            <w:pPr>
              <w:pStyle w:val="TableContents"/>
              <w:bidi w:val="0"/>
              <w:spacing w:before="0" w:after="283"/>
              <w:jc w:val="left"/>
              <w:rPr/>
            </w:pPr>
            <w:hyperlink w:anchor="a_006">
              <w:r>
                <w:rPr>
                  <w:rStyle w:val="InternetLink"/>
                  <w:sz w:val="20"/>
                </w:rPr>
                <w:t>RISK FACTORS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7">
              <w:r>
                <w:rPr>
                  <w:rStyle w:val="InternetLink"/>
                  <w:sz w:val="20"/>
                </w:rPr>
                <w:t>USE OF PROCEEDS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8">
              <w:r>
                <w:rPr>
                  <w:rStyle w:val="InternetLink"/>
                  <w:sz w:val="20"/>
                </w:rPr>
                <w:t>DESCRIPTION OF SECURITIES</w:t>
              </w:r>
            </w:hyperlink>
            <w:r>
              <w:rPr>
                <w:sz w:val="20"/>
              </w:rPr>
              <w:t xml:space="preserve">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9">
              <w:r>
                <w:rPr>
                  <w:rStyle w:val="InternetLink"/>
                  <w:sz w:val="20"/>
                </w:rPr>
                <w:t>DESCRIPTION OF CAPITAL STOCK</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6</w:t>
            </w:r>
          </w:p>
        </w:tc>
      </w:tr>
      <w:tr>
        <w:trPr/>
        <w:tc>
          <w:tcPr>
            <w:tcW w:w="6245" w:type="dxa"/>
            <w:tcBorders/>
            <w:vAlign w:val="center"/>
          </w:tcPr>
          <w:p>
            <w:pPr>
              <w:pStyle w:val="TableContents"/>
              <w:bidi w:val="0"/>
              <w:spacing w:before="0" w:after="283"/>
              <w:jc w:val="left"/>
              <w:rPr/>
            </w:pPr>
            <w:hyperlink w:anchor="a_010">
              <w:r>
                <w:rPr>
                  <w:rStyle w:val="InternetLink"/>
                  <w:sz w:val="20"/>
                </w:rPr>
                <w:t>DESCRIPTION OF WARRANTS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9</w:t>
            </w:r>
          </w:p>
        </w:tc>
      </w:tr>
      <w:tr>
        <w:trPr/>
        <w:tc>
          <w:tcPr>
            <w:tcW w:w="6245" w:type="dxa"/>
            <w:tcBorders/>
            <w:vAlign w:val="center"/>
          </w:tcPr>
          <w:p>
            <w:pPr>
              <w:pStyle w:val="TableContents"/>
              <w:bidi w:val="0"/>
              <w:spacing w:before="0" w:after="283"/>
              <w:jc w:val="left"/>
              <w:rPr/>
            </w:pPr>
            <w:hyperlink w:anchor="a_011">
              <w:r>
                <w:rPr>
                  <w:rStyle w:val="InternetLink"/>
                  <w:sz w:val="20"/>
                </w:rPr>
                <w:t>SELLING STOCKHOLDERS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10</w:t>
            </w:r>
          </w:p>
        </w:tc>
      </w:tr>
      <w:tr>
        <w:trPr/>
        <w:tc>
          <w:tcPr>
            <w:tcW w:w="6245" w:type="dxa"/>
            <w:tcBorders/>
            <w:vAlign w:val="center"/>
          </w:tcPr>
          <w:p>
            <w:pPr>
              <w:pStyle w:val="TableContents"/>
              <w:bidi w:val="0"/>
              <w:spacing w:before="0" w:after="283"/>
              <w:jc w:val="left"/>
              <w:rPr/>
            </w:pPr>
            <w:hyperlink w:anchor="a_012">
              <w:r>
                <w:rPr>
                  <w:rStyle w:val="InternetLink"/>
                  <w:sz w:val="20"/>
                </w:rPr>
                <w:t>PLAN OF DISTRIBUTION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11</w:t>
            </w:r>
          </w:p>
        </w:tc>
      </w:tr>
      <w:tr>
        <w:trPr/>
        <w:tc>
          <w:tcPr>
            <w:tcW w:w="6245" w:type="dxa"/>
            <w:tcBorders/>
            <w:vAlign w:val="center"/>
          </w:tcPr>
          <w:p>
            <w:pPr>
              <w:pStyle w:val="TableContents"/>
              <w:bidi w:val="0"/>
              <w:spacing w:before="0" w:after="283"/>
              <w:jc w:val="left"/>
              <w:rPr/>
            </w:pPr>
            <w:hyperlink w:anchor="a_013">
              <w:r>
                <w:rPr>
                  <w:rStyle w:val="InternetLink"/>
                  <w:sz w:val="20"/>
                </w:rPr>
                <w:t>LEGAL MATTERS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r>
        <w:trPr/>
        <w:tc>
          <w:tcPr>
            <w:tcW w:w="6245" w:type="dxa"/>
            <w:tcBorders/>
            <w:vAlign w:val="center"/>
          </w:tcPr>
          <w:p>
            <w:pPr>
              <w:pStyle w:val="TableContents"/>
              <w:bidi w:val="0"/>
              <w:spacing w:before="0" w:after="283"/>
              <w:jc w:val="left"/>
              <w:rPr/>
            </w:pPr>
            <w:hyperlink w:anchor="a_014">
              <w:r>
                <w:rPr>
                  <w:rStyle w:val="InternetLink"/>
                  <w:sz w:val="20"/>
                </w:rPr>
                <w:t>EXPERTS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“Commission”) using a “shelf” registration process. Under this shelf registration process, we may offer and sell up to $100,000,000 of any combination of the securities described in this prospectus from time to time in one or more offerings, and the selling stockholders referred to in this prospectus and identified in supplements to this prospectus may also sell up to 1,000,000 shares of our common stock from time to time in one or more offerings. This prospectus only provides you with a general description of the securities we or the selling stockholders may offer. Each time securities are offered, we will provide a prospectus supplement. We may also authorize one or more free writing prospectuses to be provided to you in connection with the offering. The prospectus supplement and/or free writing prospectus will contain specific information about the terms and manner of that offering. The prospectus supplement and free writing prospectus may also add, update or change information contained in this prospectus. Any such information that is inconsistent with this prospectus will supersede the information in this prospectus. You should read both this prospectus and any accompanying prospectus supplement or free writing prospectus together with the additional information described below under the heading “Incorporation of Certain Documents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forms a part. This prospectus contains summaries of certain provisions contained in some of the exhibits to our registration statement, but reference is made to the actual documents for complete information. All of the summaries are qualified in their entirety by the full text of these documents. You may obtain copies of these documents at no cost by writing to or telephoning us at the address and telephone number given under the heading “Where You Can Find More Information”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nor any underwriters, dealers or agents have authorized any other person to provide you with different or additional information other than that contained in, or incorporated by reference into, this prospectus or any applicable prospectus supplement or free writing prospectus. Neither we, nor the selling stockholders, nor any underwriters, dealers or agents take any responsibility, and can make no assurance as to the reliability of, any other information that others may give you. This prospectus may be used only where it is legal to sell these securities. This prospectus is not an offer to sell, or a solicitation of an offer to buy, in any state where the offer or sale is prohibited. The information in this prospectus, any prospectus supplement, free writing prospectus or any document incorporated herein or therein by reference is accurate as of the date contained on the cover of such documents. Neither the delivery of this prospectus or any prospectus supplement or free writing prospectus, nor any sale made under this prospectus or any prospectus supplement or free writing prospectus will, under any circumstances, imply that the information in this prospectus or any prospectus supplement or free writing prospectus is correct as of any date after the date of this prospectus or any such prospectus supplement or free writing prospectus. Our business, financial condition, results of operations and prospects may have changed since that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“Frequency Electronics,” the “Company,” “we,” “us,” and “our” refer to Frequency Electronics, Inc.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the information we have filed with the Commission. This means that we can disclose important information by referring you to those documents. Our Commission file number is 001-08061. All documents that we file with the Commission pursuant to Sections 13(a), 13(c), 14 or 15(d) of the Securities Exchange Act of 1934, as amended (the “Exchange Act”), on or after the date of this prospectus and prior to the termination of the offering of any securities covered by this prospectus and any accompanying prospectus supplement will be deemed to be incorporated by reference into this prospectus and to be a part hereof from the date of filing of such documents. We are not, however, incorporating by reference any documents or portions thereof, whether specifically listed below or filed in the future, that are not deemed “filed” with the Commission under its rules and regulations, including information furnished pursuant to Item 2.02 or 7.01 of Form 8-K unless specified otherwise. Any statement contained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that we have already filed with the Commission, and any documents that we file with the Commission in the future, under Sections 13(a), 13(c), 14 or 15(d) of the Exchange Act, until the termination of the offering of any securities covered by this prospectus and the accompanying prospectus supplement:</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pPr>
            <w:r>
              <w:rPr>
                <w:sz w:val="20"/>
              </w:rPr>
              <w:t xml:space="preserve">our Annual Report on </w:t>
            </w:r>
            <w:hyperlink r:id="rId3">
              <w:r>
                <w:rPr>
                  <w:rStyle w:val="InternetLink"/>
                  <w:sz w:val="20"/>
                </w:rPr>
                <w:t>Form 10-K</w:t>
              </w:r>
            </w:hyperlink>
            <w:r>
              <w:rPr>
                <w:sz w:val="20"/>
              </w:rPr>
              <w:t xml:space="preserve"> for the year ended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pPr>
            <w:r>
              <w:rPr>
                <w:sz w:val="20"/>
              </w:rPr>
              <w:t xml:space="preserve">our Current Report on </w:t>
            </w:r>
            <w:hyperlink r:id="rId4">
              <w:r>
                <w:rPr>
                  <w:rStyle w:val="InternetLink"/>
                  <w:sz w:val="20"/>
                </w:rPr>
                <w:t>Form 8-K</w:t>
              </w:r>
            </w:hyperlink>
            <w:r>
              <w:rPr>
                <w:sz w:val="20"/>
              </w:rPr>
              <w:t xml:space="preserve"> filed with the Commission on June 12, 2026;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sz w:val="20"/>
              </w:rPr>
              <w:t xml:space="preserve">the description of our common stock contained in </w:t>
            </w:r>
            <w:hyperlink r:id="rId5">
              <w:r>
                <w:rPr>
                  <w:rStyle w:val="InternetLink"/>
                  <w:sz w:val="20"/>
                </w:rPr>
                <w:t>Exhibit 4.2</w:t>
              </w:r>
            </w:hyperlink>
            <w:r>
              <w:rPr>
                <w:sz w:val="20"/>
              </w:rPr>
              <w:t xml:space="preserve"> to our Annual Report on </w:t>
            </w:r>
            <w:hyperlink r:id="rId6">
              <w:r>
                <w:rPr>
                  <w:rStyle w:val="InternetLink"/>
                  <w:sz w:val="20"/>
                </w:rPr>
                <w:t>Form 10-K</w:t>
              </w:r>
            </w:hyperlink>
            <w:r>
              <w:rPr>
                <w:sz w:val="20"/>
              </w:rPr>
              <w:t xml:space="preserve"> for the year ended April 30, 2021, including any subsequent amendment or any report subsequently filed for the purpose of updating such description.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will be provided without charge to each person to whom a copy of this prospectus is delivered (other than the exhibits to such documents which are not specifically incorporated by reference herein), upon written or oral request. Requests should be directed to Frequency Electronics, Inc., 55 Charles Lindbergh Blvd., Mitchel Field, New York 11553, Attention: Secretary, or telephone number: (516) 794-4500. You also may obtain copies of these filings, at no cost, by accessing our website at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other periodic reports, proxy statements and other information with the Commission. Our filings with the Commission are available to the public without charge at the Commission’s website: www.sec.gov. This information is also available on our website at www.frequencyelectronics.com. Except as set forth in the “Incorporation of Certain Documents by Reference” section of this prospectus or any accompanying prospectus supplement, the information contained on, or otherwise accessible through, these websites is not incorporated into, and does not constitute a part of this prospectus or any accompanying prospectus supplement or any other report or document that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any accompanying prospectus supplement and the documents we incorporate by reference that are not statements of historical or current facts are forward-looking statements within the meaning of the Private Securities Litigation Reform Act of 1995 (set forth in Section 27A of the Securities Act of 1933, as amended (the “Securities Act”), and Section 21E of the Exchange Act). Also, documents we subsequently file with the Commission and incorporate by reference will contain forward-looking statements. Forward-looking statements involve known and unknown risks, uncertainties and other factors that may cause our actual results, performance or achievements to be materially different from historical results or from any future results expressed or implied by such forward-looking statements. In many cases, you can identify forward-looking statements by terms such as “believes,” “belief,” “expects,” “may,” “will,” “estimates,” “intends,” “anticipates,” or “plans”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upon management’s beliefs, assumptions and current expectations concerning future events and trends, using information currently available, and are necessarily subject to uncertainties, many of which are outside our control. Although we believe that the expectations reflected in the forward-looking statements are reasonable, forward-looking statements are not, and should not be relied upon as a guarantee of future performance or results, nor will they necessarily prove to be accurate indications of the times at or by which any such performance or results will be achieved. A number of important factors could cause actual results to differ materially from those expressed in or implied by the forward-looking statements. These factors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Company’s senior secured revolving credit facility, volatility in the Company’s stock price, including due to the relatively low trading volume of its common stock, and failure to maintain an effective system of internal controls over financial reporting and the other factors discussed in the reports we file with or furnish to the Commission from time to time, including the risks and important factors set forth in additional detail in Item 1A. “Risk Factors” in our Annual Report on Form 10-K for the year ended April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The forward-looking statements included herein are made only as of the date of this prospectus and we undertake no obligation to publicly update or revise any forward-looking statement made by us or on our behalf, whether as a result of new information, future developments, subsequent events or circumstances or otherwise, except as required by law. All subsequent written or oral forward-looking statements attributable to us or individuals acting on our behalf are expressly qualified in their entirety by the cautionary statements referenced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 xml:space="preserve">OUR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Frequency Electronics was founded in 1961 as a research and development firm generating proprietary precision time and frequency technology primarily under contracts for end-use by the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its principal executive office at 55 Charles Lindbergh Blvd., Mitchel Field, New York 11553. Its telephone number is 516-794-4500, and its website is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substantial risks. Before purchasing our securities, you should carefully consider the risk factors discussed herein and in our Annual Report on Form 10-K for the year ended April 30, 2026, which are incorporated by reference into this prospectus, as such may be updated and supplemented by our subsequent Commission filings, as well as the risks, uncertainties and additional information set forth in (i) future Commission filings that are deemed incorporated by reference herein and (ii) the applicable prospectus supplement. Each of the risks described could result in a material decrease in the value of our securities and your investment in them. Risks related to any specific securities we or the selling stockholders offer will be described in the applicable prospectus supplement relating to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we expect to use the net proceeds from our sale of offered securities for working capital and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specific allocation of the net proceeds of an offering by us of securities will be determined at the time of such offering and will be described in the accompanying prospectus supplement. In the event that any net proceeds are not immediately applied, we may temporarily hold them as cash, deposit them in banks, or invest them in cash equivalents or securities that our investment policies permit us to invest in from time to time. We will not receive any proceeds from the sale of shares of our common stock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that we or the selling stockholders may offer from time to time. As further described in this prospectus, these summary descriptions are not meant to be complete descriptions of each security. The particular terms of any security will be described in the accompanying prospectus supplement. The accompanying prospectus supplement may add, update or change the terms and conditions of the securities as described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 xml:space="preserve">DESCRIPTION OF CAPITAL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based upon our certificate of incorporation (“Certificate of Incorporation”), our Amended and Restated By-Laws (“By-Laws”) and applicable provisions of Delaware law, in each case, as currently in effect as of the date of this prospectus. The following description is only a summary of the material provisions of our capital stock set forth in our Certificate of Incorporation and our By-Laws and does not purport to be complete, and is subject to and qualified in its entirety by reference to such documents, the information regarding our capital stock incorporated by reference herein from our Commission filings and the applicable provisions of the Delaware General Corporation Law. Copies of our Certificate of Incorporation and our By-Laws have been filed as exhibits to the registration statement of which this prospectus forms a part. See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series of preferred stock we offer will be described in the related prospectus supplement. You should read that description, together with the more detailed provisions of our Certificate of Incorporation and the certificate of designations relating to the particular series of preferred stock. The certificate of designations relating to each particular series of preferred stock will be filed as an exhibit to a document incorporated by reference into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Incorporation, our authorized capital stock consists of 20,000,000 shares of common stock, $1.00 par value per share, and 600,000 shares of preferred stock, $1.00 par value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 are duly authorized, validly issued, fully-paid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dividends as may be declared from time to time by our board of directors out of funds legally available therefor and in the sole discretion of our board of directors, except as otherwise provided by law or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Delaware law, in the event of the liquidation, dissolution, or winding-up of the Company, the remaining assets legally available for distribution to stockholders shall be distributed ratably among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rights and no right to convert their common stock into any other securities. Our common stock is not subject to any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shares of preferred stock from time to time in series or otherwise without further stockholder action. Our board of directors has the authority to make designations regarding any preferred stock it issues, including preferences, voting powers and relative, participating, optional or other special rights and qualifications, limitations or restrictions of such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the By-Laws contain provisions that could have the effect of delaying or preventing changes in control or changes in our management without the consent of our board of directors, including, among other things: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our board of directors to elect a director to fill a vacancy in our board of directors, which prevents stockholders from being able to fill vacancies on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our chairperson of the board of directors, our president or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by majority vote, to amend the By-Laws, which may allow our board of directors to take additional actions to prevent a hostile acquisition and inhibit the ability of an acquirer to amend the By-Laws to facilitate a hostile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our board of directors or to propose matters to be acted upon at a stockholders’ meeting, which may preclude stockholders from bringing matters before a meeting of stockholders or from making nominations for directors at a meeting of stockholders if the proper procedures are not followed;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w:t>
      </w:r>
    </w:p>
    <w:p>
      <w:pPr>
        <w:pStyle w:val="TextBody"/>
        <w:bidi w:val="0"/>
        <w:spacing w:before="0" w:after="0"/>
        <w:ind w:left="0" w:right="0" w:firstLine="72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loss, advances, guarantees, pledges, or other financial benefits by or through the corporation.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“FEIM”.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some of the general terms and provisions applicable to warrants we may issue from time to time. We will describe the specific terms of any warrants and the applicable warrant agreements in the applicable prospectus supplement. The following description and any description of the warrants in the applicable prospectus supplement may not be complete and is subject to and qualified in its entirety by reference to the terms and provisions of the applicable warrant agreements. Copies of the form of agreement for each warrant and the warrant certificate, if any, which we refer to collectively as “warrant agreements,” and reflecting the provisions to be included in such agreements that will be entered into with respect to a particular offering of each type of warrant, will be filed with the Commission and incorporated by reference as exhibits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either separately or together with other securities, warrants for the purchase of any, including any combination of, common stock or preferred stock that we may sell. Warrants may be issued independently, or together with common stock or preferred stock offered by any prospectus supplement and may be attached to or separate from any such offered securities. Any warrants will be issued under warrant agreements to be entered into between us and a bank or trust company, as warrant agent, all to be set forth in the applicable prospectus supplement relating to any or all warrants with respect to which this prospectus is being delivered.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warrants to which any prospectus supplement may relate. The particular terms of such warrants and the extent, if any, to which the general provisions may apply to the warrants so offered will be described in the applicable prospectus supplement. To the extent that any particular terms of the warrants, warrant agreements or warrant certificates described in a prospectus supplement differ from any of the terms described in this section, then the terms described in this section will be deemed to have been superseded by that prospectus supplement. We encourage you to read the applicable warrant agreement for additional information before you purchase any of our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describe the terms of the warrants, as well as the related warrant agreement and warrant certificates, including the following, where applicable:</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sz w:val="20"/>
              </w:rPr>
            </w:pPr>
            <w:r>
              <w:rPr>
                <w:sz w:val="20"/>
              </w:rPr>
              <w:t xml:space="preserve">the securities that may be purchased upon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sz w:val="20"/>
              </w:rPr>
            </w:pPr>
            <w:r>
              <w:rPr>
                <w:sz w:val="20"/>
              </w:rPr>
              <w:t xml:space="preserve">the number of securities purchasable upon exercise of each warrant;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initial price at which such number of securities may be purchased upon such exercise (and if such price may be wholly or partly payable in cash or wholly or partly payable with other types of consideration);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designation and terms of the securities, if other than common stock, purchasable upon exercise of the warrants and of any securities, if other than common stock, with which the warrants are issued; </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sz w:val="20"/>
              </w:rPr>
            </w:pPr>
            <w:r>
              <w:rPr>
                <w:sz w:val="20"/>
              </w:rPr>
              <w:t xml:space="preserve">the procedures and conditions relating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date, if any, on and after which the warrants, and any securities with which the warrants are issued, will be separately transferable; </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sz w:val="20"/>
              </w:rPr>
            </w:pPr>
            <w:r>
              <w:rPr>
                <w:sz w:val="20"/>
              </w:rPr>
              <w:t xml:space="preserve">the offering price,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 xml:space="preserve">the date on which the right to exercise the warrants will commence and the date on which that right will expire;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if applicable, a discussion of the material United States federal income tax considerations applicable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whether the warrants represented by the warrant certificates will be issued in registered or bearer form and, if registered, where they may be transferred and registered; </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sz w:val="20"/>
              </w:rPr>
            </w:pPr>
            <w:r>
              <w:rPr>
                <w:sz w:val="20"/>
              </w:rPr>
              <w:t xml:space="preserve">whether the warrants will be listed on any securities exchange; </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left"/>
              <w:rPr>
                <w:sz w:val="20"/>
              </w:rPr>
            </w:pPr>
            <w:r>
              <w:rPr>
                <w:sz w:val="20"/>
              </w:rPr>
              <w:t xml:space="preserve">call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sz w:val="20"/>
              </w:rPr>
            </w:pPr>
            <w:r>
              <w:rPr>
                <w:sz w:val="20"/>
              </w:rPr>
              <w:t xml:space="preserve">anti-dilution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sz w:val="20"/>
              </w:rPr>
            </w:pPr>
            <w:r>
              <w:rPr>
                <w:sz w:val="20"/>
              </w:rPr>
              <w:t xml:space="preserve">the name of the warrant agent; and </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sz w:val="20"/>
              </w:rPr>
            </w:pPr>
            <w:r>
              <w:rPr>
                <w:sz w:val="20"/>
              </w:rPr>
              <w:t xml:space="preserve">any other material terms of the warrants.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Rights of Security Holder Prior to Exercise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exercise of their warrants and their registration as holders of the underlying securities, holders of warrants will not have any of the rights of registered holders of the underlying securities purchasable upon the exercise of the warrants, and will not be entitled to, among other things, vote or receive dividend or interest payments or similar distributions on the securities purchasable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covering offerings by our Company, this prospectus also relates to the potential sale by certain of our stockholders, who we refer to in this prospectus as the “selling stockholders,” of up to 1,000,000 shares of our common stock that were issued and outstanding prior to the original date of filing of the registration statement of which this prospectus forms a part. The selling stockholders acquired the shares included in this prospectus in open market transactions not involving the Company from 2012 to 2024. The selling stockholders may also include donees, transferees or other successors in interest to stockholders who originally acquired their shares of our common stock pursuant to those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 will be set forth in an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registration statement of which this prospectus forms a part registers the sale of their shares of our common stock, the selling stockholders may alternatively sell or transfer all or a portion of their shares pursuant to any available exemption from the registration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use this prospectus and any accompanying prospectus supplement to sell our securities from time to time in one or more transactions as follows:</w:t>
      </w:r>
    </w:p>
    <w:p>
      <w:pPr>
        <w:pStyle w:val="TextBody"/>
        <w:bidi w:val="0"/>
        <w:spacing w:before="0" w:after="0"/>
        <w:ind w:left="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bl>
    <w:p>
      <w:pPr>
        <w:pStyle w:val="TextBody"/>
        <w:bidi w:val="0"/>
        <w:spacing w:before="0" w:after="0"/>
        <w:ind w:left="0"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dealers, who may act as agents or principals, including a block trade (which may involve crosses) in which a broker or dealer so engaged will attempt to sell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agents;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“at-the-market” offerings within the meaning of Rule 415(a)(4) under the Securities Act, to or through a market maker or into an existing trading market, on an exchange or otherwise;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combination of these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by applicable law and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relating to an offering of securities will set forth the specific plan of distribution and state the terms of the offering,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distribution of the securities offered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or purchase price of the offered securities and the net proceeds that we or the selling stockholders will receive from the sale;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or other items constituting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commissions, or fees allowed, re-allowed or paid to dealers or agents;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the offered securities may be listed.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commissions, fees or concessions allowed or re-allowed or paid to underwriters, dealers, or agents may be changed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Underwriters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from time to time to one or more underwriters who would purchase the securities as principal for resale to the public, either on a firm commitment or best efforts basis. If underwriters are used in the sale of our securities, we will execute an underwriting agreement with them at the time of the sale and will name them in the applicable prospectus supplement. In connection with these sales, the underwriters may be deemed to have received compensation from us or the selling stockholders in the form of underwriting discounts and commissions. The underwriters also may receive commissions from purchasers of securities for whom they may act as agent. Unless we specify otherwise in the applicable prospectus supplement, the underwriters will not be obligated to purchase the securities unless the conditions set forth in the underwriting agreement are satisfied, and if the underwriters purchase any of the securities, they generally will be required to purchase all of the offered securities. The underwriters may acquire the securities for their own account and may resell the securities from time to time in one or more transactions, including negotiated transactions, at a fixed public offering price or varying prices determined at the time of sale. The underwriters may sell the offered securities to or through dealers, and those dealers may receive discounts, concessions, or commissions from the underwriters as well as from the purchasers for whom they may act as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securities from time to time to one or more dealers who would purchase the securities as principal. The dealers then may resell the offered securities to the public at fixed or varying prices to be determined by those dealers at the time of resale. We will set forth the names of any dealers and the terms of the transaction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on a continuous basis through agents that become parties to an underwriting or distribution agreement. We will name any agent involved in the offer and sale, and describe any commissions payable by us or the selling stockholders in the applicable prospectus supplement. Unless we specify otherwise in the applicable prospectus supplement, the agent will be acting on a best efforts basis during the appointment period. The agent may make sales in privately negotiated transactions and by any other method permitted by law, including sales deemed to be an “at-the-market” offering as defined in Rule 415 promulgated under the Securities Act, including sales made directly on The Nasdaq Global Market, or sales made to or through a market maker other than on an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directly to, and solicit offers from, institutional investors or others who may be deemed to be underwriters, as defined in the Securities Act, for any resale of the securities. We will describe the terms of any sales of this kind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participating in an offering of securities may be deemed to be underwriters, and any discounts and commissions received by them and any profit realized by them on resale of the offered securities, may be deemed to be underwriting discounts and commissions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to sell securities either at a fixed price or at prices that may vary, at market prices prevailing at the time of sale, at prices related to prevailing market prices, or at negotiated prices. Securities may be sold in connection with a remarketing after their purchase by one or more firms acting as principal for their own accounts or as our agent. In addition, we may issue the securities as a dividend or distribution to our existing security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underwritten offering of the securities, the underwriters may engage in over-allotment, stabilizing transactions and syndicate covering transactions in accordance with Regulation M under the Exchange Act. Over-allotment involves sales in excess of the offering size, which creates a short position for the underwriters. The underwriters may enter bids for, and purchase, securities in the open market in order to stabilize the price of the securities. Syndicate covering transactions involve purchases of the securities in the open market after the distribution has been completed in order to cover short positions. In addition,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These activities may cause the price of the securities to be higher than it would otherwise be. Those activities, if commenced, may be discontinued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Ordinarily, each issue of securities offered by us will be a new issue, and there will be no established trading market for any security other than our common stock, which is listed on The Nasdaq Global Market under the symbol “FEIM,” prior to its original issue date. We may not list any particular series of securities on a securities exchange or quotation system. Any underwriters to whom or agents through whom the offered securities are sold for offering and sale may make a market in the offered securities. However, any underwriters or agents that make a market will not be obligated to do so and may stop doing so at any time without notice. We cannot assure you that there will be a liquid trading market for the offered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authorize underwriters, dealers or agents to solicit offers by certain purchasers to purchase the securities from us or the selling stockholders at the public offering price set forth in the applicable prospectus supplement pursuant to delayed delivery contracts providing for payment and delivery on a specified date in the future. The contracts will be subject only to those conditions set forth in the related prospectus supplement, and the related prospectus supplement will set forth any commissions we pay for solicitation of these contracts.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may be entered into with us or the selling stockholders, underwriters, dealers and agents who participate in the distribution of the securities may be entitled to indemnification by us or the selling stockholders against certain civil liabilities, including liabilities under the Securities Act, or to contribution with respect to payments which the underwriters, dealers or agents may be required to make.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Conflict of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engage underwriters, dealers and agents in connection with the offering of any of the securities described in this prospectus, some of whom may have a “conflict of interest,” as such term is defined by the Financial Industry Regulatory Authority, Inc. In the event an underwriter, dealer or agent who is participating in the offering has a conflict of interest, we will describe the nature of the conflict in the applicable prospectus supplement, and, if applicable, the name of the underwriter, dealer or agent who is acting as the “qualified independent underwriter” and its role and responsibilities in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that we may use, as well as their affiliates, may engage in financial or other business transactions with, or perform other services for, us, our subsidiaries and the selling stockholders in the ordinary course of business and may receive a portion of the proceeds from the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 xml:space="preserve">LEGAL MATTERS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validity of the securities offered hereby will be passed upon for us by McGuireWoods LLP, Richmond, Virginia. Any underwriters, dealers or agents will be advised by their own legal counsel concerning issues related to the offering of securities pursuant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OTHER EXPENSES OF ISSUANCE AND DISTRIBUTION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5060"/>
        <w:gridCol w:w="60"/>
        <w:gridCol w:w="140"/>
        <w:gridCol w:w="9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21,119.64</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Miscellaneous (including transfer agent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expenses are not presently known. Estimated fees and expenses associated with future offerings will be provided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145(a) and (b) of the Delaware General Corporation Law (“DGCL”) provide generally that a corporation has the power to indemnify its officers, directors, employees and agents against expenses, including attorneys’ fees, judgments, fines and settlement amounts actually and reasonably incurred by them in connection with the defense of any action by reason of being or having been directors, officers, employees or agents of the corporation (or serving or having served in such positions in another entity at the request of the corporation) if such person shall have acted in good faith and in a manner the person reasonably believed to be in or not opposed to the best interests of the corporation (and, with respect to any criminal action, had no reasonable cause to believe the person’s conduct was unlawful), provided that in the event of any action or suit by or in the right of the corporation to procure a judgment in its favor, the corporation may indemnify against expenses, including attorneys’ fees, actually and reasonably incurred by such person, except that no such indemnification shall be provided as to any claim, issue or matter as to which such person shall have been judged to have been liable to the corporation unless and only to the extent that the Court of Chancery of the State of Delaware, or another court in which the suit was brought, shall determine upon application that, despite the adjudication of liability but in view of all of the circumstances of the case, such person is fairly and reasonably entitled to indemnity for such expenses which the Court of Chancery or such other court deems proper.</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the Company’s Certificate of Incorporation, as amended, provides that a director shall not be personally liable to the Company or its stockholders for monetary damages for breach of fiduciary duty as a director, except that a director may be liable (i) for any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permitted by the DGCL, the Company’s By-Laws and Certificate of Incorporation, as amended, provide that the Company will indemnify its directors and officers to the fullest extent permitted by applicable law. Further, the Company’s By-Laws provide that the Company will, to the fullest extent not prohibited by applicable law, pay the expenses, including attorneys’ fees, incurred by a director or officer in defending any proceeding in advance of its final disposition, provided, however, that, to the extent required by law, such payment of expenses in advance of the final disposition of the proceeding shall be made only upon receipt of an undertaking by the applicable person to repay all amounts advanced if it should be ultimately determined that he or she is not entitled to be indemnified.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 or incorporated by reference herein as indicated: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6"/>
        <w:gridCol w:w="60"/>
        <w:gridCol w:w="9379"/>
      </w:tblGrid>
      <w:tr>
        <w:trPr/>
        <w:tc>
          <w:tcPr>
            <w:tcW w:w="76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Stock Purchase Agreement, dated as of February 21, 2012, by and among the Registrant, Elcom Technologies Inc. and the stockholders of Elcom Technologies Inc. identified on the signature pages thereto. (Incorporated by reference to Exhibit 2.1 to Registrant’s Current Report on Form 8-K, File No. 001-08061, filed on February 27, 2012.)</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Copy of Certificate of Incorporation of the Registrant filed with the Secretary of State of Delaware. (Incorporated by reference to Exhibit 3.1 to Registrant’s Annual Report on Form 10-K for the year ended April 30, 2026, File No. 001-08061.)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Amendment to Certificate of Incorporation of the Registrant filed with the Secretary of State of Delaware on March 27, 1981. (Incorporated by reference to Exhibit 3.2 to Registrant’s Annual Report on Form 10-K for the year ended April 30, 2026, File No. 001-08061.)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Amendment to Certificate of Incorporation of the Registrant filed with the Secretary of State of Delaware on October 26, 1984. (Incorporated by reference to Exhibit 3.3 to Registrant’s Annual Report on Form 10-K for the year ended April 30, 2026, File No. 001-08061.)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Amendment to Certificate of Incorporation of the Registrant filed with the Secretary of State of Delaware on October 22, 1986. (Incorporated by reference to Exhibit 3.4 to Registrant’s Annual Report on Form 10-K for the year ended April 30, 2026, File No. 001-08061.)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Amended and Restated Certificate of Incorporation of the Registrant filed with the Secretary of State of Delaware on October 26, 1987. (Incorporated by reference to Exhibit 3.5 to Registrant’s Annual Report on Form 10-K for the year ended April 30, 2026, File No. 001-08061.)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b w:val="false"/>
                  <w:i w:val="false"/>
                  <w:caps w:val="false"/>
                  <w:smallCaps w:val="false"/>
                  <w:sz w:val="20"/>
                </w:rPr>
                <w:t>Amended Certificate of Incorporation of the Registrant filed with the Secretary of State of Delaware on November 2, 1989. (Incorporated by reference to Exhibit 3.6 to Registrant’s Annual Report on Form 10-K for the year ended April 30, 2026, File No. 001-08061.)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b w:val="false"/>
                  <w:i w:val="false"/>
                  <w:caps w:val="false"/>
                  <w:smallCaps w:val="false"/>
                  <w:sz w:val="20"/>
                </w:rPr>
                <w:t>Amended and Restated By-Laws of the Registrant, as amended. (Incorporated by reference to Exhibit 3.1 to Registrant’s Current Report on Form 8-K, File No. 001-08061, filed on June 25, 2020.)</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of Common Stock certificate. (Incorporated by reference to Exhibit 4.1 to Registrant’s registration statement on Form S-1, File No. 2-29609.)</w:t>
            </w:r>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Designation (for Preferred Stock).**</w:t>
            </w:r>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Preferred Stock Certificate.**</w:t>
            </w:r>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w:t>
            </w:r>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Certificate.**</w:t>
            </w:r>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w:anchor="feimex5-1.htm">
              <w:r>
                <w:rPr>
                  <w:rStyle w:val="InternetLink"/>
                  <w:rFonts w:ascii="Times New Roman;Times;Serif" w:hAnsi="Times New Roman;Times;Serif"/>
                  <w:b w:val="false"/>
                  <w:i w:val="false"/>
                  <w:caps w:val="false"/>
                  <w:smallCaps w:val="false"/>
                  <w:sz w:val="20"/>
                </w:rPr>
                <w:t>Opinion of McGuireWoods LLP.*</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9379" w:type="dxa"/>
            <w:tcBorders/>
            <w:tcMar>
              <w:bottom w:w="0" w:type="dxa"/>
            </w:tcMar>
            <w:vAlign w:val="center"/>
          </w:tcPr>
          <w:p>
            <w:pPr>
              <w:pStyle w:val="TableContents"/>
              <w:bidi w:val="0"/>
              <w:spacing w:before="0" w:after="283"/>
              <w:jc w:val="left"/>
              <w:rPr/>
            </w:pPr>
            <w:hyperlink w:anchor="feimex23-1.htm">
              <w:r>
                <w:rPr>
                  <w:rStyle w:val="InternetLink"/>
                  <w:rFonts w:ascii="Times New Roman;Times;Serif" w:hAnsi="Times New Roman;Times;Serif"/>
                  <w:b w:val="false"/>
                  <w:i w:val="false"/>
                  <w:caps w:val="false"/>
                  <w:smallCaps w:val="false"/>
                  <w:sz w:val="20"/>
                </w:rPr>
                <w:t>Consent of Grant Thornton LLP.*</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w:anchor="feimex5-1.htm">
              <w:r>
                <w:rPr>
                  <w:rStyle w:val="InternetLink"/>
                  <w:rFonts w:ascii="Times New Roman;Times;Serif" w:hAnsi="Times New Roman;Times;Serif"/>
                  <w:b w:val="false"/>
                  <w:i w:val="false"/>
                  <w:caps w:val="false"/>
                  <w:smallCaps w:val="false"/>
                  <w:sz w:val="20"/>
                </w:rPr>
                <w:t>Consent of McGuireWoods LLP (included in Exhibit 5.1).*</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w:anchor="poa_001">
              <w:r>
                <w:rPr>
                  <w:rStyle w:val="InternetLink"/>
                  <w:rFonts w:ascii="Times New Roman;Times;Serif" w:hAnsi="Times New Roman;Times;Serif"/>
                  <w:b w:val="false"/>
                  <w:i w:val="false"/>
                  <w:caps w:val="false"/>
                  <w:smallCaps w:val="false"/>
                  <w:sz w:val="20"/>
                </w:rPr>
                <w:t>Power of Attorney (included on signature page).*</w:t>
              </w:r>
            </w:hyperlink>
          </w:p>
        </w:tc>
      </w:tr>
      <w:tr>
        <w:trPr/>
        <w:tc>
          <w:tcPr>
            <w:tcW w:w="76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9" w:type="dxa"/>
            <w:tcBorders/>
            <w:tcMar>
              <w:bottom w:w="0" w:type="dxa"/>
            </w:tcMar>
            <w:vAlign w:val="center"/>
          </w:tcPr>
          <w:p>
            <w:pPr>
              <w:pStyle w:val="TableContents"/>
              <w:bidi w:val="0"/>
              <w:spacing w:before="0" w:after="283"/>
              <w:jc w:val="left"/>
              <w:rPr/>
            </w:pPr>
            <w:hyperlink w:anchor="feimex-fee.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filed, if necessary, by amendment to this Registration Statement or as an exhibit to a report filed under the Exchange Act and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UNDERTAKINGS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1101"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this Registration Statement as of the date the filed prospectus was deemed part of and included in the registration statement; and</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489"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poa_001"/>
      <w:bookmarkEnd w:id="17"/>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Mitchel Field, State of New York, on July 17, 2026.</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320"/>
        <w:gridCol w:w="3875"/>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L. Bernstein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each of Thomas McClelland and Steven L. Bernstein, or either of them, his or her true and lawful attorney-in-fact and agent, with full power of substitution and resubstitution, for him or her and in his or her name, place and stead, in any and all capacities, to sign any and all amendments (including post-effective amendments and registrations filed pursuant to Rule 462 under the Securities Act)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indicated on July 17, 2026.</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28" w:type="dxa"/>
          <w:right w:w="0" w:type="dxa"/>
        </w:tblCellMar>
      </w:tblPr>
      <w:tblGrid>
        <w:gridCol w:w="1970"/>
        <w:gridCol w:w="60"/>
        <w:gridCol w:w="3875"/>
      </w:tblGrid>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9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McClelland</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9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L. Bernstein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r>
        <w:trPr/>
        <w:tc>
          <w:tcPr>
            <w:tcW w:w="19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Russell M. Sarachek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M. Sarachek</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Richard Schwartz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Schwartz</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Jonathan Brolin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Brolin</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Lance W. Lord</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W. Lord</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feimex5-1.htm"/>
      <w:bookmarkStart w:id="19" w:name="ksfeimex51"/>
      <w:bookmarkEnd w:id="18"/>
      <w:bookmarkEnd w:id="19"/>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71675"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71675" cy="32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Charles Lindbergh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New York 11553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Statement on Form S-3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Frequency Electronics,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being filed by the Company on the date of this opinion letter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 connection with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(i) up to $100,000,000 in aggregate offering price of the Primary Common Stock, Preferred Stock and Warrants that may be offered and sold from time to time by the Company (each as defined below, collectively, the “</w:t>
      </w:r>
      <w:r>
        <w:rPr>
          <w:rFonts w:ascii="Times New Roman;Times;Serif" w:hAnsi="Times New Roman;Times;Serif"/>
          <w:b w:val="false"/>
          <w:i w:val="false"/>
          <w:caps w:val="false"/>
          <w:smallCaps w:val="false"/>
          <w:sz w:val="20"/>
          <w:u w:val="single"/>
        </w:rPr>
        <w:t>Primary Securities</w:t>
      </w:r>
      <w:r>
        <w:rPr>
          <w:rFonts w:ascii="Times New Roman;Times;Serif" w:hAnsi="Times New Roman;Times;Serif"/>
          <w:b w:val="false"/>
          <w:i w:val="false"/>
          <w:caps w:val="false"/>
          <w:smallCaps w:val="false"/>
          <w:sz w:val="20"/>
        </w:rPr>
        <w:t>”) and (ii) up to 1,000,000 shares of Common Stock (the “</w:t>
      </w:r>
      <w:r>
        <w:rPr>
          <w:rFonts w:ascii="Times New Roman;Times;Serif" w:hAnsi="Times New Roman;Times;Serif"/>
          <w:b w:val="false"/>
          <w:i w:val="false"/>
          <w:caps w:val="false"/>
          <w:smallCaps w:val="false"/>
          <w:sz w:val="20"/>
          <w:u w:val="single"/>
        </w:rPr>
        <w:t>Secondary Common Stock</w:t>
      </w:r>
      <w:r>
        <w:rPr>
          <w:rFonts w:ascii="Times New Roman;Times;Serif" w:hAnsi="Times New Roman;Times;Serif"/>
          <w:b w:val="false"/>
          <w:i w:val="false"/>
          <w:caps w:val="false"/>
          <w:smallCaps w:val="false"/>
          <w:sz w:val="20"/>
        </w:rPr>
        <w:t>”) that may be offered and sold from time to time by certain selling stockholders (such selling stockholders,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to be identified in one or more prospectus supplements (the Primary Securities and the shares of Secondary Common Stock, collectively,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This opinion letter is being furnished in accordance with the requirements of Item 16 of Form S-3 and Item 601(b)(5)(i) of Regulation S-K promulgated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Securities, which are described in the Registration Statement, will be issued, or have been acquired by the Selling Stockholders, as applicable,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shares of the Company’s common stock, par value $1.00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to be offered and sold by the Company (the “</w:t>
      </w:r>
      <w:r>
        <w:rPr>
          <w:rFonts w:ascii="Times New Roman;Times;Serif" w:hAnsi="Times New Roman;Times;Serif"/>
          <w:b w:val="false"/>
          <w:i w:val="false"/>
          <w:caps w:val="false"/>
          <w:smallCaps w:val="false"/>
          <w:sz w:val="20"/>
          <w:u w:val="single"/>
        </w:rPr>
        <w:t>Primary Common Stock</w:t>
      </w:r>
      <w:r>
        <w:rPr>
          <w:rFonts w:ascii="Times New Roman;Times;Serif" w:hAnsi="Times New Roman;Times;Serif"/>
          <w:b w:val="false"/>
          <w:i w:val="false"/>
          <w:caps w:val="false"/>
          <w:smallCaps w:val="false"/>
          <w:sz w:val="20"/>
        </w:rPr>
        <w:t>”), will be issued pursuant to the Company’s Certificate of Incorporation,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and any shares of the Company’s preferred stock, par value $1.00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will be issued pursuant to a certificate of amendment to the Certificate of Incorporation;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warrants described in the Registration Statement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shares of Primary Common Stock, shares of Preferred Stock or any combination thereof will be designated by the Company at the time of the offering and may be issued pursuant to one or more warrant agreements (each, a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proposed to be entered into between the Company and a bank or trust company, as warrant agent, to be named therein;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shares of Secondary Common Stock were acquired by the Selling Stockholders in the manner described in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Securities are to be issued in one or more series. The Primary Securities may be offered and sold by the Company, and the shares of Secondary Common Stock may be offered and sold by the Selling Stockholders, on a continuous or delayed basis pursuant to Rule 415 under the Securities Act, from time to time as set forth in the Registration Statement, the prospectus contained therein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any amendments or supplements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McGuireWoods LLP | www.mcguirewoods.com</w:t>
      </w:r>
    </w:p>
    <w:p>
      <w:pPr>
        <w:pStyle w:val="TextBody"/>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Atlanta | Austin | Baltimore | Charlotte | Charlottesville | Chicago | Dallas | Houston | Jacksonville | London | Los Angeles - Century City | New York | </w:t>
        <w:br/>
        <w:t>Norfolk | Pittsburgh | Raleigh | Richmond | San Francisco | Seattle | Tysons | Washington, D.C.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Reviewed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following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including the exhibits thereto;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examined and relied upon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certificate from the Secretary of the Company certifying as to (A) true and correct copies of the Certificate of Incorporation and the Amended and Restated By-Laws of the Company (the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and (B) the resolutions of the Board of Directors of the Company authorizing, among other things, the filing of the Registration Statement by the Company;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dated July 17, 2026, issued by the Secretary of State of the State of Delaware, attesting to the corporate status of the Company in the State of Delaware (the “</w:t>
      </w:r>
      <w:r>
        <w:rPr>
          <w:rFonts w:ascii="Times New Roman;Times;Serif" w:hAnsi="Times New Roman;Times;Serif"/>
          <w:b w:val="false"/>
          <w:i w:val="false"/>
          <w:caps w:val="false"/>
          <w:smallCaps w:val="false"/>
          <w:sz w:val="20"/>
          <w:u w:val="single"/>
        </w:rPr>
        <w:t>Corporate Status Certificate</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originals, or copies identified to our satisfaction as being true copies, of such other records, documents and instruments as we have deemed necessary for the purposes of this opinion letter.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the laws of the State of New York and the Delaware General Corporation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Assumptions Underlying Our Opinions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the opinions expressed herein, we have assumed, without independent investigation,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Factual Matters</w:t>
      </w:r>
      <w:r>
        <w:rPr>
          <w:rFonts w:ascii="Times New Roman;Times;Serif" w:hAnsi="Times New Roman;Times;Serif"/>
          <w:b w:val="false"/>
          <w:i w:val="false"/>
          <w:caps w:val="false"/>
          <w:smallCaps w:val="false"/>
          <w:sz w:val="20"/>
        </w:rPr>
        <w:t>. To the extent that we have reviewed and relied upon or will review and rely upon (i) certificates of the Company or authorized representatives thereof, (ii) representations of the Company set forth in any Warrant Agreement and (iii) certificates and assurances from public officials, all of such certificates, representations and assurances are accurate with regard to factual matters and all official records (including filings with public authorities) are properly indexed and filed and are accurate and complete.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Authentic and Conforming Documents</w:t>
      </w:r>
      <w:r>
        <w:rPr>
          <w:rFonts w:ascii="Times New Roman;Times;Serif" w:hAnsi="Times New Roman;Times;Serif"/>
          <w:b w:val="false"/>
          <w:i w:val="false"/>
          <w:caps w:val="false"/>
          <w:smallCaps w:val="false"/>
          <w:sz w:val="20"/>
        </w:rPr>
        <w:t>. All documents submitted to us as originals are authentic, complete and accurate, and all documents submitted to us as copies conform to authentic original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Signatures; Legal Capacity</w:t>
      </w:r>
      <w:r>
        <w:rPr>
          <w:rFonts w:ascii="Times New Roman;Times;Serif" w:hAnsi="Times New Roman;Times;Serif"/>
          <w:b w:val="false"/>
          <w:i w:val="false"/>
          <w:caps w:val="false"/>
          <w:smallCaps w:val="false"/>
          <w:sz w:val="20"/>
        </w:rPr>
        <w:t>. The signatures of individuals who have signed or will sign any Warrant or Warrant Agreement are genuine. All individuals who have signed or will sign any Warrant or Warrant Agreement have the legal capacity to execute such Warrant or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Organizational Status, Power and Authority of Certain Parties</w:t>
      </w:r>
      <w:r>
        <w:rPr>
          <w:rFonts w:ascii="Times New Roman;Times;Serif" w:hAnsi="Times New Roman;Times;Serif"/>
          <w:b w:val="false"/>
          <w:i w:val="false"/>
          <w:caps w:val="false"/>
          <w:smallCaps w:val="false"/>
          <w:sz w:val="20"/>
        </w:rPr>
        <w:t>. All parties to any Warrant Agreement (other than any individual) (i) are or will be, as of the date any such Warrant Agreement is executed and delivered, validly existing and in good standing in their respective jurisdictions of formation, except that no such assumption is made as to the Company as of the date hereof and (ii) have or will have, as of the date any such Warrant Agreement is executed and delivered, the power and authority to execute, deliver and perform any such Warrant Agreement and the documents required or permitted to be delivered and performed thereunder, except that no such assumption is made as to the Company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Authorization, Execution and Delivery of Warrant Agreement by Certain Parties</w:t>
      </w:r>
      <w:r>
        <w:rPr>
          <w:rFonts w:ascii="Times New Roman;Times;Serif" w:hAnsi="Times New Roman;Times;Serif"/>
          <w:b w:val="false"/>
          <w:i w:val="false"/>
          <w:caps w:val="false"/>
          <w:smallCaps w:val="false"/>
          <w:sz w:val="20"/>
        </w:rPr>
        <w:t>. Any Warrant Agreement and the documents required or permitted to be delivered thereunder have been or will be, as of the date any such Warrant Agreement is executed and delivered, duly authorized by all necessary corporate, limited liability company, business trust, partnership or other action on the part of the parties thereto and have been or will be, as of the date any such Warrant Agreement is executed and delivered, duly executed and delivered by such parties, except that no such assumptions are made as to the Company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Warrant Agreement Binding on Certain Parties</w:t>
      </w:r>
      <w:r>
        <w:rPr>
          <w:rFonts w:ascii="Times New Roman;Times;Serif" w:hAnsi="Times New Roman;Times;Serif"/>
          <w:b w:val="false"/>
          <w:i w:val="false"/>
          <w:caps w:val="false"/>
          <w:smallCaps w:val="false"/>
          <w:sz w:val="20"/>
        </w:rPr>
        <w:t>. Any Warrant Agreement and the documents required or permitted to be delivered thereunder are or will be, as of the date any such Warrant Agreement is executed and delivered, valid and binding obligations enforceable against the parties thereto in accordance with their terms, except that no such assumption is made as to the Company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Any Warrant or Warrant Agreement will be governed by the laws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any Warrant Agreement by any party thereto nor the performance by such party of its obligations thereunder will not conflict with or result in a breach of (i) the certificate or articles of incorporation, bylaws, certificate or articles of organization, operating agreement, certificate of limited partnership, partnership agreement, trust agreement or other similar organizational documents of any such party, except that no such assumption is made as to the Company as to its Organizational Documents as of the date hereof, (ii) any law or regulation of any jurisdiction applicable to any such party, except that no such assumption is made as to the Company as to any Applicable Law as of the date hereof, or (iii) any order, writ, injunction or decree of any court or governmental instrumentality or agency applicable to any such party or any agreement or instrument to which any such party may be a party or by which its properties are subject or bound, except that no such assumption is made as to the Company as to any Warrant Agreement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All consents, approvals and authorizations of, or filings with, governmental authorities that were required as a condition to the issuance of the shares of Secondary Common Stock have been obtained or made. All consents, approvals and authorizations of, or filings with, governmental authorities that are required as a condition to the issuance of the Primary Securities or the offer and sale of the shares of Secondary Common Stock as contemplated by the Registration Statement, or the execution and delivery of any Warrant Agreement by the parties thereto or the performance by such parties of their obligations thereunder will have been obtained or made, except that no such assumption is made with respect to any consent, approval, authorization or filing that is applicable to the Company or the Selling Stockholders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The Registration Statement shall have been declared effective under the Securities Act and such effectiveness shall not have been terminated or rescinded.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Mutual Mistake, Amendments, etc</w:t>
      </w:r>
      <w:r>
        <w:rPr>
          <w:rFonts w:ascii="Times New Roman;Times;Serif" w:hAnsi="Times New Roman;Times;Serif"/>
          <w:b w:val="false"/>
          <w:i w:val="false"/>
          <w:caps w:val="false"/>
          <w:smallCaps w:val="false"/>
          <w:sz w:val="20"/>
        </w:rPr>
        <w:t>. There has not been any mutual mistake of fact, fraud, duress or undue influence in connection with the issuance of the shares of Secondary Common Stock. There will not be, as of the date any Primary Security is issued or any Warrant Agreement is executed and delivered, any mutual mistake of fact, fraud, duress or undue influence in connection with the issuance of the Primary Securities or the offer and sale of the shares of Secondary Common Stock as contemplated by the Registration Statement, the Prospectus and any amendments or supplements thereto. There are and will be no oral or written statements or agreements that modify, amend or vary, or purport to modify, amend or vary, any of the terms of any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Opinions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and the exclusions, qualifications, limitations and other assumptions set forth in this opinion letter, we are of the opinion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72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Organizational Status</w:t>
      </w:r>
      <w:r>
        <w:rPr>
          <w:rFonts w:ascii="Times New Roman;Times;Serif" w:hAnsi="Times New Roman;Times;Serif"/>
          <w:b w:val="false"/>
          <w:i w:val="false"/>
          <w:caps w:val="false"/>
          <w:smallCaps w:val="false"/>
          <w:sz w:val="20"/>
        </w:rPr>
        <w:t>. The Company is a validly existing corporation under the laws of the State of Delaware and is in good standing under such laws.</w:t>
      </w:r>
    </w:p>
    <w:p>
      <w:pPr>
        <w:pStyle w:val="TextBody"/>
        <w:bidi w:val="0"/>
        <w:spacing w:before="0" w:after="0"/>
        <w:ind w:left="720" w:right="720" w:firstLine="720"/>
        <w:jc w:val="left"/>
        <w:rPr>
          <w:caps w:val="false"/>
          <w:smallCaps w:val="false"/>
        </w:rPr>
      </w:pPr>
      <w:r>
        <w:rPr>
          <w:caps w:val="false"/>
          <w:smallCaps w:val="false"/>
        </w:rPr>
        <w:t> </w:t>
      </w:r>
    </w:p>
    <w:p>
      <w:pPr>
        <w:pStyle w:val="TextBody"/>
        <w:bidi w:val="0"/>
        <w:spacing w:before="0" w:after="0"/>
        <w:ind w:left="720" w:right="72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Power and Authority</w:t>
      </w:r>
      <w:r>
        <w:rPr>
          <w:rFonts w:ascii="Times New Roman;Times;Serif" w:hAnsi="Times New Roman;Times;Serif"/>
          <w:b w:val="false"/>
          <w:i w:val="false"/>
          <w:caps w:val="false"/>
          <w:smallCaps w:val="false"/>
          <w:sz w:val="20"/>
        </w:rPr>
        <w:t>. The Company has the corporate power and authority to issue the Primary Securities.</w:t>
      </w:r>
    </w:p>
    <w:p>
      <w:pPr>
        <w:pStyle w:val="TextBody"/>
        <w:bidi w:val="0"/>
        <w:spacing w:before="0" w:after="0"/>
        <w:ind w:left="720" w:right="720" w:firstLine="720"/>
        <w:jc w:val="left"/>
        <w:rPr>
          <w:caps w:val="false"/>
          <w:smallCaps w:val="false"/>
        </w:rPr>
      </w:pPr>
      <w:r>
        <w:rPr>
          <w:caps w:val="false"/>
          <w:smallCaps w:val="false"/>
        </w:rPr>
        <w:t> </w:t>
      </w:r>
    </w:p>
    <w:p>
      <w:pPr>
        <w:pStyle w:val="TextBody"/>
        <w:bidi w:val="0"/>
        <w:spacing w:before="0" w:after="0"/>
        <w:ind w:left="720" w:right="72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Primary Common Stock</w:t>
      </w:r>
      <w:r>
        <w:rPr>
          <w:rFonts w:ascii="Times New Roman;Times;Serif" w:hAnsi="Times New Roman;Times;Serif"/>
          <w:b w:val="false"/>
          <w:i w:val="false"/>
          <w:caps w:val="false"/>
          <w:smallCaps w:val="false"/>
          <w:sz w:val="20"/>
        </w:rPr>
        <w:t>. With respect to any Primary Common Stock, when (a) the Board of Directors of the Company or a duly constituted and acting committee thereof (such Board of Directors or committee being hereinafter referred to as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has taken all necessary corporate action to authorize and approve (“</w:t>
      </w:r>
      <w:r>
        <w:rPr>
          <w:rFonts w:ascii="Times New Roman;Times;Serif" w:hAnsi="Times New Roman;Times;Serif"/>
          <w:b w:val="false"/>
          <w:i w:val="false"/>
          <w:caps w:val="false"/>
          <w:smallCaps w:val="false"/>
          <w:sz w:val="20"/>
          <w:u w:val="single"/>
        </w:rPr>
        <w:t>Authorizing Resolutions</w:t>
      </w:r>
      <w:r>
        <w:rPr>
          <w:rFonts w:ascii="Times New Roman;Times;Serif" w:hAnsi="Times New Roman;Times;Serif"/>
          <w:b w:val="false"/>
          <w:i w:val="false"/>
          <w:caps w:val="false"/>
          <w:smallCaps w:val="false"/>
          <w:sz w:val="20"/>
        </w:rPr>
        <w:t>”) the issuance of such Primary Common Stock from the then authorized number of Common Stock available therefore, (b) the terms for the issuance and sale of such Primary Common Stock have been established in conformity with the applicable Authorizing Resolutions, (c) such Primary Common Stock has been issued and sold as contemplated by the Registration Statement, the Prospectus and the applicable supplement to such Prospectus, (d) the Company has received the consideration provided for in the applicable supplement to the Prospectus and any applicable definitive purchase, underwriting or similar agreement, (e) such consideration per share is not less than the amount specified in the applicable Authorizing Resolutions and (f) certificates in the form required under the laws of the State of Delaware representing the shares of such Primary Common Stock are duly executed, countersigned, registered and delivered, if such Primary Common Stock is certificated, or book-entry notations in the form required under the laws of the State of Delaware have been made in the share register of the Company, if such Primary Common Stock is not represented by certificates, such Primary Common Stock will be validly issued, fully paid and non-assessable.</w:t>
      </w:r>
    </w:p>
    <w:p>
      <w:pPr>
        <w:pStyle w:val="TextBody"/>
        <w:bidi w:val="0"/>
        <w:spacing w:before="0" w:after="0"/>
        <w:ind w:left="720" w:right="720" w:firstLine="720"/>
        <w:jc w:val="left"/>
        <w:rPr>
          <w:caps w:val="false"/>
          <w:smallCaps w:val="false"/>
        </w:rPr>
      </w:pPr>
      <w:r>
        <w:rPr>
          <w:caps w:val="false"/>
          <w:smallCaps w:val="false"/>
        </w:rPr>
        <w:t> </w:t>
      </w:r>
    </w:p>
    <w:p>
      <w:pPr>
        <w:pStyle w:val="TextBody"/>
        <w:bidi w:val="0"/>
        <w:spacing w:before="0" w:after="0"/>
        <w:ind w:left="720" w:right="72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With respect to any Preferred Stock of any series, when (a) the Board has taken all necessary corporate action to authorize and approve the issuance of such series of Preferred Stock from the then authorized number of Preferred Stock available therefore, (b) the terms of such series of Preferred Stock and for their issuance and sale have been established in conformity with the applicable Authorizing Resolutions, (c) such Preferred Stock has been issued and sold as contemplated by the Registration Statement, the Prospectus and the applicable supplement to such Prospectus, (d) the Company has received the consideration provided for in the applicable supplement to the Prospectus and any applicable definitive purchase, underwriting or similar agreement, (e) such consideration per share is not less than the amount specified in the applicable Authorizing Resolutions, (f) a certificate of designation with respect to such series of Preferred Stock has been duly filed with the Secretary of State of the State of Delaware and (g) certificates in the form required under the laws of the State of Delaware representing the shares of such Preferred Stock are duly executed, countersigned, registered and delivered, if such Preferred Stock is certificated, or book-entry notations in the form required under the laws of the State of Delaware have been made in the share register of the Company, if such Preferred Stock is not represented by certificates, such Preferred Stock of such series will be validly issued, fully paid and non-assessable.</w:t>
      </w:r>
    </w:p>
    <w:p>
      <w:pPr>
        <w:pStyle w:val="TextBody"/>
        <w:bidi w:val="0"/>
        <w:spacing w:before="0" w:after="0"/>
        <w:ind w:left="720" w:right="720" w:firstLine="720"/>
        <w:jc w:val="left"/>
        <w:rPr>
          <w:caps w:val="false"/>
          <w:smallCaps w:val="false"/>
        </w:rPr>
      </w:pPr>
      <w:r>
        <w:rPr>
          <w:caps w:val="false"/>
          <w:smallCaps w:val="false"/>
        </w:rPr>
        <w:t> </w:t>
      </w:r>
    </w:p>
    <w:p>
      <w:pPr>
        <w:pStyle w:val="TextBody"/>
        <w:bidi w:val="0"/>
        <w:spacing w:before="0" w:after="0"/>
        <w:ind w:left="720" w:right="72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With respect to any Warrants, when (a) the Board has taken all necessary corporate action to authorize and approve the issuance of such Warrants, (b) the terms of such Warrants and for their issuance and sale have been established in conformity with the applicable Authorizing Resolutions, (c) such Warrants have been issued and sold as contemplated by the Registration Statement, the Prospectus and the applicable supplement to such Prospectus, (d) the Company has received the consideration provided for in the applicable supplement to the Prospectus and any applicable definitive purchase, underwriting or similar agreement and (e) such Warrants have been authenticated or countersigned in accordance with the provisions of any applicable Warrant Agreement, such Warrants will constitute the valid and binding obligations of the Company, enforceable against the Company in accordance with their terms, under the laws of the State of New York.</w:t>
      </w:r>
    </w:p>
    <w:p>
      <w:pPr>
        <w:pStyle w:val="TextBody"/>
        <w:bidi w:val="0"/>
        <w:spacing w:before="0" w:after="0"/>
        <w:ind w:left="720" w:right="720" w:firstLine="720"/>
        <w:jc w:val="left"/>
        <w:rPr>
          <w:caps w:val="false"/>
          <w:smallCaps w:val="false"/>
        </w:rPr>
      </w:pPr>
      <w:r>
        <w:rPr>
          <w:caps w:val="false"/>
          <w:smallCaps w:val="false"/>
        </w:rPr>
        <w:t> </w:t>
      </w:r>
    </w:p>
    <w:p>
      <w:pPr>
        <w:pStyle w:val="TextBody"/>
        <w:bidi w:val="0"/>
        <w:spacing w:before="0" w:after="0"/>
        <w:ind w:left="720" w:right="72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Secondary Common Stock</w:t>
      </w:r>
      <w:r>
        <w:rPr>
          <w:rFonts w:ascii="Times New Roman;Times;Serif" w:hAnsi="Times New Roman;Times;Serif"/>
          <w:b w:val="false"/>
          <w:i w:val="false"/>
          <w:caps w:val="false"/>
          <w:smallCaps w:val="false"/>
          <w:sz w:val="20"/>
        </w:rPr>
        <w:t>. The shares of Secondary Common Stock are validly issued, fully paid and non-assessable.</w:t>
      </w:r>
    </w:p>
    <w:p>
      <w:pPr>
        <w:pStyle w:val="TextBody"/>
        <w:bidi w:val="0"/>
        <w:spacing w:before="0" w:after="0"/>
        <w:ind w:left="720" w:right="720" w:firstLine="720"/>
        <w:jc w:val="left"/>
        <w:rPr>
          <w:caps w:val="false"/>
          <w:smallCaps w:val="false"/>
        </w:rPr>
      </w:pPr>
      <w:r>
        <w:rPr>
          <w:caps w:val="false"/>
          <w:smallCaps w:val="false"/>
        </w:rPr>
        <w:t> </w:t>
      </w:r>
    </w:p>
    <w:p>
      <w:pPr>
        <w:pStyle w:val="TextBody"/>
        <w:bidi w:val="0"/>
        <w:spacing w:before="0" w:after="0"/>
        <w:ind w:left="720" w:right="720" w:firstLine="720"/>
        <w:jc w:val="center"/>
        <w:rPr>
          <w:sz w:val="20"/>
          <w:bdr w:val="single" w:sz="12" w:space="1" w:color="000000"/>
        </w:rPr>
      </w:pPr>
      <w:r>
        <w:rPr>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Matters Excluded from Our Opinions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with respect to the following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and Change of Control</w:t>
      </w:r>
      <w:r>
        <w:rPr>
          <w:rFonts w:ascii="Times New Roman;Times;Serif" w:hAnsi="Times New Roman;Times;Serif"/>
          <w:b w:val="false"/>
          <w:i w:val="false"/>
          <w:caps w:val="false"/>
          <w:smallCaps w:val="false"/>
          <w:sz w:val="20"/>
        </w:rPr>
        <w:t>. The enforceability of any agreement relating to (i) indemnification, contribution or exculpation from costs, expenses or other liabilities or (ii) changes in the organizational control or ownership of any party, which agreement (in the case of clause (i) or clause (ii)) is contrary to public policy or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Jurisdiction, Venue, etc</w:t>
      </w:r>
      <w:r>
        <w:rPr>
          <w:rFonts w:ascii="Times New Roman;Times;Serif" w:hAnsi="Times New Roman;Times;Serif"/>
          <w:b w:val="false"/>
          <w:i w:val="false"/>
          <w:caps w:val="false"/>
          <w:smallCaps w:val="false"/>
          <w:sz w:val="20"/>
        </w:rPr>
        <w:t>. The enforceability of any agreement to submit to the jurisdiction of any specific federal or state court (other than the enforceability in a court of the State of New York of any such agreement to submit to the jurisdiction of a court of the State of New York), to waive any objection to the laying of the venue, to waive the defense of forum non conveniens in any action or proceeding referred to therein, to waive trial by jury, to effect service of process in any particular manner or to establish evidentiary standards, and the enforceability of any agreement regarding the choice of law governing any Warrant or Warrant Agreement (other than the enforceability in a court of the State of New York or in a federal court sitting in the State of New York and applying New York law to any such agreement that the laws of the State of New York shall govern).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enforceability of any provision in any Warrant Agreement to the effect that rights or remedies are not exclusive, that every right or remedy is cumulative and may be exercised in addition to any other right or remedy, that the election of some particular remedy does not preclude recourse to one or more others or that failure to exercise or delay in exercising rights or remedies will not operate as a waiver of any such right or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Price Adjustments</w:t>
      </w:r>
      <w:r>
        <w:rPr>
          <w:rFonts w:ascii="Times New Roman;Times;Serif" w:hAnsi="Times New Roman;Times;Serif"/>
          <w:b w:val="false"/>
          <w:i w:val="false"/>
          <w:caps w:val="false"/>
          <w:smallCaps w:val="false"/>
          <w:sz w:val="20"/>
        </w:rPr>
        <w:t>. The validity, legally binding effect or enforceability of any provision in any Warrant or Warrant Agreement that requires or relates to adjustments to the exercise price at a rate or in an amount that a court would determine in the circumstances under Applicable Law to be commercially unreasonable or a penalty or forfeiture.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Qualifications and Limitations Applicable to Our Opinions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qualifications and limitations: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Our opinions are limited to the Applicable Law, and we do not express any opinion concerning any other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Our opinions are subject to the effect of any applicable bankruptcy, insolvency (including laws relating to preferences, fraudulent transfers and equitable subordination), reorganization, moratorium and other similar laws affecting creditors’ rights generally.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Equitable Principles</w:t>
      </w:r>
      <w:r>
        <w:rPr>
          <w:rFonts w:ascii="Times New Roman;Times;Serif" w:hAnsi="Times New Roman;Times;Serif"/>
          <w:b w:val="false"/>
          <w:i w:val="false"/>
          <w:caps w:val="false"/>
          <w:smallCaps w:val="false"/>
          <w:sz w:val="20"/>
        </w:rPr>
        <w:t>. Our opinions are subject to the effect of general principles of equity (regardless of whether considered in a proceeding in equity or at law), including concepts of materiality, reasonableness, good faith and fair dealing. In applying such principles, a court, among other things, might limit the availability of specific equitable remedies (such as injunctive relief and the remedy of specific performance), might not allow a creditor to accelerate maturity of debt or exercise other remedies upon the occurrence of a default deemed immaterial or for non-credit reasons or might decline to order a debtor to perform covenants in any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Unenforceability of Certain Provisions</w:t>
      </w:r>
      <w:r>
        <w:rPr>
          <w:rFonts w:ascii="Times New Roman;Times;Serif" w:hAnsi="Times New Roman;Times;Serif"/>
          <w:b w:val="false"/>
          <w:i w:val="false"/>
          <w:caps w:val="false"/>
          <w:smallCaps w:val="false"/>
          <w:sz w:val="20"/>
        </w:rPr>
        <w:t>. Provisions contained in the Securities or any Warrant Agreement that require waivers or amendments to be made only in writing may be unenforceable or ineffective, in whole or in part. The inclusion of such provisions, however, does not render any of the Securities or any such Warrant Agreement invalid as a whole.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Choice of New York Law and Forum</w:t>
      </w:r>
      <w:r>
        <w:rPr>
          <w:rFonts w:ascii="Times New Roman;Times;Serif" w:hAnsi="Times New Roman;Times;Serif"/>
          <w:b w:val="false"/>
          <w:i w:val="false"/>
          <w:caps w:val="false"/>
          <w:smallCaps w:val="false"/>
          <w:sz w:val="20"/>
        </w:rPr>
        <w:t>. To the extent that any of our opinions relate to the enforceability of the choice of New York law or any choice of New York forum provisions of any Warrant or Warrant Agreement, our opinion is rendered in reliance upon N.Y. Gen. Oblig. Law §§ 5-1401 and 5-1402 and N.Y. CPLR 327(b) and is subject to the qualification that such enforceability may be limited by principles of public policy, comity and constitutionality. We express no opinion as to whether a United States federal court would have subject-matter or personal jurisdiction over a controversy arising under any Warrant or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being furnished only for the purpose referred to in the first paragraph of this opinion letter. Our opinions are based on statutes, regulations and administrative and judicial interpretations that are subject to change. We undertake no responsibility to update or supplement these opinions subsequent to the effective date of the Registration Statement. Headings in this opinion letter are intended for convenience of reference only and shall not affect its interpretation. We hereby consent to the filing of this opinion letter as Exhibit 5.1 to the Registration Statement and to the reference to our firm in the Registration Statement and the Prospectus under the caption “Legal Matters.” In giving this consent, we do not admit that we are within the category of persons whose consent is required by Section 7 of the Securities Act or the rules and regulations of the SEC promulgated thereunder.</w:t>
      </w:r>
    </w:p>
    <w:p>
      <w:pPr>
        <w:pStyle w:val="TextBody"/>
        <w:bidi w:val="0"/>
        <w:spacing w:before="0" w:after="0"/>
        <w:jc w:val="center"/>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75"/>
        <w:gridCol w:w="2330"/>
      </w:tblGrid>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/s/ McGuireWoods LLP</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feimex23-1.htm"/>
      <w:bookmarkStart w:id="21" w:name="ksfeimex231"/>
      <w:bookmarkEnd w:id="20"/>
      <w:bookmarkEnd w:id="2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July 16, 2026 with respect to the consolidated financial statements of Frequency Electronics, Inc. included in the Annual Report on Form 10-K for the year ended April 30, 2026, which are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240"/>
        <w:jc w:val="right"/>
        <w:rPr>
          <w:rFonts w:ascii="Times New Roman;Times;Serif" w:hAnsi="Times New Roman;Times;Serif"/>
          <w:b/>
          <w:i w:val="false"/>
          <w:caps w:val="false"/>
          <w:smallCaps w:val="false"/>
          <w:sz w:val="24"/>
        </w:rPr>
      </w:pPr>
      <w:bookmarkStart w:id="22" w:name="feimex-fee.htm"/>
      <w:bookmarkStart w:id="23" w:name="ksfeimexfee"/>
      <w:bookmarkEnd w:id="22"/>
      <w:bookmarkEnd w:id="2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Frequency Electronics,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960" w:type="dxa"/>
        <w:jc w:val="left"/>
        <w:tblInd w:w="0" w:type="dxa"/>
        <w:tblLayout w:type="fixed"/>
        <w:tblCellMar>
          <w:top w:w="0" w:type="dxa"/>
          <w:left w:w="0" w:type="dxa"/>
          <w:bottom w:w="0" w:type="dxa"/>
          <w:right w:w="0" w:type="dxa"/>
        </w:tblCellMar>
      </w:tblPr>
      <w:tblGrid>
        <w:gridCol w:w="530"/>
        <w:gridCol w:w="60"/>
        <w:gridCol w:w="1160"/>
        <w:gridCol w:w="60"/>
        <w:gridCol w:w="1160"/>
        <w:gridCol w:w="60"/>
        <w:gridCol w:w="575"/>
        <w:gridCol w:w="60"/>
        <w:gridCol w:w="1100"/>
        <w:gridCol w:w="60"/>
        <w:gridCol w:w="1025"/>
        <w:gridCol w:w="60"/>
        <w:gridCol w:w="199"/>
        <w:gridCol w:w="796"/>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96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Common Stock, par value $1.00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52.93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52,930,000.00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7,309.64</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Common Stock, par value $1.00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Preferred Stock, par value $1.00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13,810.00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0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152,930,000.00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21,119.64</w:t>
            </w:r>
          </w:p>
        </w:tc>
      </w:tr>
      <w:tr>
        <w:trPr/>
        <w:tc>
          <w:tcPr>
            <w:tcW w:w="690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690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90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21,119.64</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Represents the shares of common stock of the registrant that may be offered for resale by the selling stockholders pursuant to the prospectus included in the registration statement to which this exhibit is attached.</w:t>
              <w:br/>
              <w:br/>
              <w:t>Estimated solely for the purpose of computing the amount of the registration fee pursuant to Rule 457(c) under the Securities Act. The maximum price per share and maximum aggregate offering price are based on the average of the high and low sale prices of the shares of common stock as reported on The Nasdaq Global Market on July 16, 2026, which date is within five business days prior to filing the registration statement to which this exhibit is attached.</w:t>
            </w:r>
          </w:p>
        </w:tc>
      </w:tr>
    </w:tbl>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The amount to be registered consists of up to $100,000,000 of an indeterminate amount of shares of common stock, shares of preferred stock and/or warrants that may be offered and sold from time to time in one or more offerings. In addition, pursuant to Rule 416(a) under the Securities Act of 1933, as amended (the “Securities Act”), the registration statement to which this exhibit is attached also covers such indeterminate number of additional shares of common stock and preferred stock as may become issuable with respect to the shares being registered hereunder to prevent dilution in the event of a reorganization, reclassification, stock split, dividend or distribution, or any similar transaction.</w:t>
            </w:r>
          </w:p>
        </w:tc>
      </w:tr>
    </w:tbl>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The amount to be registered consists of up to $100,000,000 of an indeterminate amount of shares of common stock, shares of preferred stock and/or warrants that may be offered and sold from time to time in one or more offerings. In addition, pursuant to Rule 416(a) under the Securities Act of 1933, as amended (the “Securities Act”), the registration statement to which this exhibit is attached also covers such indeterminate number of additional shares of common stock and preferred stock as may become issuable with respect to the shares being registered hereunder to prevent dilution in the event of a reorganization, reclassification, stock split, dividend or distribution, or any similar transaction.</w:t>
            </w:r>
          </w:p>
        </w:tc>
      </w:tr>
    </w:tbl>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The amount to be registered consists of up to $100,000,000 of an indeterminate amount of shares of common stock, shares of preferred stock and/or warrants that may be offered and sold from time to time in one or more offerings. In addition, pursuant to Rule 416(a) under the Securities Act of 1933, as amended (the “Securities Act”), the registration statement to which this exhibit is attached also covers such indeterminate number of additional shares of common stock and preferred stock as may become issuable with respect to the shares being registered hereunder to prevent dilution in the event of a reorganization, reclassification, stock split, dividend or distribution, or any similar transaction.</w:t>
            </w:r>
          </w:p>
        </w:tc>
      </w:tr>
    </w:tbl>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The amount to be registered consists of up to $100,000,000 of an indeterminate amount of shares of common stock, shares of preferred stock and/or warrants that may be offered and sold from time to time in one or more offerings. In addition, pursuant to Rule 416(a) under the Securities Act of 1933, as amended (the “Securities Act”), the registration statement to which this exhibit is attached also covers such indeterminate number of additional shares of common stock and preferred stock as may become issuable with respect to the shares being registered hereunder to prevent dilution in the event of a reorganization, reclassification, stock split, dividend or distribution, or any similar transaction.</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9020/000118518526002997/feim10k043026.htm" TargetMode="External"/><Relationship Id="rId4" Type="http://schemas.openxmlformats.org/officeDocument/2006/relationships/hyperlink" Target="http://www.sec.gov/Archives/edgar/data/39020/000118518526002498/feim8k061226.htm" TargetMode="External"/><Relationship Id="rId5" Type="http://schemas.openxmlformats.org/officeDocument/2006/relationships/hyperlink" Target="http://www.sec.gov/Archives/edgar/data/39020/000118518521000886/ex_260110.htm" TargetMode="External"/><Relationship Id="rId6" Type="http://schemas.openxmlformats.org/officeDocument/2006/relationships/hyperlink" Target="http://www.sec.gov/Archives/edgar/data/39020/000118518521000886/freqelec20210430_10k.htm" TargetMode="External"/><Relationship Id="rId7" Type="http://schemas.openxmlformats.org/officeDocument/2006/relationships/hyperlink" Target="http://www.sec.gov/Archives/edgar/data/39020/000114420412011172/v303671_ex2-1.htm" TargetMode="External"/><Relationship Id="rId8" Type="http://schemas.openxmlformats.org/officeDocument/2006/relationships/hyperlink" Target="http://www.sec.gov/Archives/edgar/data/39020/000118518526002997/feimex3-1.htm" TargetMode="External"/><Relationship Id="rId9" Type="http://schemas.openxmlformats.org/officeDocument/2006/relationships/hyperlink" Target="http://www.sec.gov/Archives/edgar/data/39020/000118518526002997/feimex3-2.htm" TargetMode="External"/><Relationship Id="rId10" Type="http://schemas.openxmlformats.org/officeDocument/2006/relationships/hyperlink" Target="http://www.sec.gov/Archives/edgar/data/39020/000118518526002997/feimex3-3.htm" TargetMode="External"/><Relationship Id="rId11" Type="http://schemas.openxmlformats.org/officeDocument/2006/relationships/hyperlink" Target="http://www.sec.gov/Archives/edgar/data/39020/000118518526002997/feimex3-4.htm" TargetMode="External"/><Relationship Id="rId12" Type="http://schemas.openxmlformats.org/officeDocument/2006/relationships/hyperlink" Target="http://www.sec.gov/Archives/edgar/data/39020/000118518526002997/feimex3-5.htm" TargetMode="External"/><Relationship Id="rId13" Type="http://schemas.openxmlformats.org/officeDocument/2006/relationships/hyperlink" Target="http://www.sec.gov/Archives/edgar/data/39020/000118518526002997/feimex3-6.htm" TargetMode="External"/><Relationship Id="rId14" Type="http://schemas.openxmlformats.org/officeDocument/2006/relationships/hyperlink" Target="http://www.sec.gov/Archives/edgar/data/39020/000118518520000896/ex_191621.htm" TargetMode="External"/><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14601</Words>
  <Characters>78211</Characters>
  <CharactersWithSpaces>93027</CharactersWithSpaces>
  <Paragraphs>1295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