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feim8k071526.htm"/>
      <w:bookmarkStart w:id="1" w:name="ksfeim8k071526"/>
      <w:bookmarkEnd w:id="0"/>
      <w:bookmarkEnd w:id="1"/>
      <w:r>
        <w:rPr>
          <w:bdr w:val="single" w:sz="16" w:space="1" w:color="000000"/>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UNITED STATES</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E_edei--DocumentType_c20260715__20"/>
      <w:bookmarkEnd w:id="2"/>
      <w:r>
        <w:rPr>
          <w:rFonts w:ascii="Times New Roman;Times;Serif" w:hAnsi="Times New Roman;Times;Serif"/>
          <w:b/>
          <w:i w:val="false"/>
          <w:caps w:val="false"/>
          <w:smallCaps w:val="false"/>
          <w:sz w:val="32"/>
        </w:rPr>
        <w:t>8-K</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144" w:right="144"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9_edei--DocumentPeriodEndDate_c202"/>
      <w:bookmarkEnd w:id="3"/>
      <w:r>
        <w:rPr>
          <w:rFonts w:ascii="Times New Roman;Times;Serif" w:hAnsi="Times New Roman;Times;Serif"/>
          <w:b/>
          <w:i w:val="false"/>
          <w:caps w:val="false"/>
          <w:smallCaps w:val="false"/>
          <w:sz w:val="20"/>
        </w:rPr>
        <w:t>July 15, 2026</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36"/>
          <w:u w:val="single"/>
        </w:rPr>
      </w:pPr>
      <w:bookmarkStart w:id="4" w:name="xdx_90A_edei--EntityRegistrantName_c2026"/>
      <w:bookmarkEnd w:id="4"/>
      <w:r>
        <w:rPr>
          <w:rFonts w:ascii="Times New Roman;Times;Serif" w:hAnsi="Times New Roman;Times;Serif"/>
          <w:b/>
          <w:i w:val="false"/>
          <w:caps w:val="false"/>
          <w:smallCaps w:val="false"/>
          <w:sz w:val="36"/>
          <w:u w:val="single"/>
        </w:rPr>
        <w:t>Frequency Electronics, Inc.</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144" w:right="144" w:hanging="0"/>
        <w:jc w:val="left"/>
        <w:rPr>
          <w:caps w:val="false"/>
          <w:smallCaps w:val="false"/>
        </w:rPr>
      </w:pPr>
      <w:r>
        <w:rPr>
          <w:caps w:val="false"/>
          <w:smallCaps w:val="false"/>
        </w:rPr>
        <w:t> </w:t>
      </w:r>
    </w:p>
    <w:tbl>
      <w:tblPr>
        <w:tblW w:w="7560" w:type="dxa"/>
        <w:jc w:val="left"/>
        <w:tblInd w:w="0" w:type="dxa"/>
        <w:tblLayout w:type="fixed"/>
        <w:tblCellMar>
          <w:top w:w="0" w:type="dxa"/>
          <w:left w:w="0" w:type="dxa"/>
          <w:bottom w:w="28" w:type="dxa"/>
          <w:right w:w="0" w:type="dxa"/>
        </w:tblCellMar>
      </w:tblPr>
      <w:tblGrid>
        <w:gridCol w:w="2630"/>
        <w:gridCol w:w="60"/>
        <w:gridCol w:w="2615"/>
        <w:gridCol w:w="60"/>
        <w:gridCol w:w="2195"/>
      </w:tblGrid>
      <w:tr>
        <w:trPr/>
        <w:tc>
          <w:tcPr>
            <w:tcW w:w="2630" w:type="dxa"/>
            <w:tcBorders>
              <w:bottom w:val="single" w:sz="8" w:space="0" w:color="000000"/>
            </w:tcBorders>
            <w:vAlign w:val="center"/>
          </w:tcPr>
          <w:p>
            <w:pPr>
              <w:pStyle w:val="TableContents"/>
              <w:bidi w:val="0"/>
              <w:spacing w:before="0" w:after="283"/>
              <w:jc w:val="center"/>
              <w:rPr>
                <w:b/>
              </w:rPr>
            </w:pPr>
            <w:bookmarkStart w:id="5" w:name="xdx_900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8" w:space="0" w:color="000000"/>
            </w:tcBorders>
            <w:vAlign w:val="center"/>
          </w:tcPr>
          <w:p>
            <w:pPr>
              <w:pStyle w:val="TableContents"/>
              <w:bidi w:val="0"/>
              <w:spacing w:before="0" w:after="283"/>
              <w:jc w:val="center"/>
              <w:rPr>
                <w:b/>
              </w:rPr>
            </w:pPr>
            <w:bookmarkStart w:id="6" w:name="xdx_906_edei--EntityFileNumber_c20260715"/>
            <w:bookmarkEnd w:id="6"/>
            <w:r>
              <w:rPr>
                <w:b/>
              </w:rPr>
              <w:t>1-8061</w:t>
            </w:r>
          </w:p>
        </w:tc>
        <w:tc>
          <w:tcPr>
            <w:tcW w:w="60" w:type="dxa"/>
            <w:tcBorders/>
            <w:tcMar>
              <w:bottom w:w="0" w:type="dxa"/>
            </w:tcMar>
            <w:vAlign w:val="center"/>
          </w:tcPr>
          <w:p>
            <w:pPr>
              <w:pStyle w:val="TableContents"/>
              <w:bidi w:val="0"/>
              <w:spacing w:before="0" w:after="283"/>
              <w:jc w:val="center"/>
              <w:rPr/>
            </w:pPr>
            <w:r>
              <w:rPr/>
              <w:t> </w:t>
            </w:r>
          </w:p>
        </w:tc>
        <w:tc>
          <w:tcPr>
            <w:tcW w:w="2195" w:type="dxa"/>
            <w:tcBorders>
              <w:bottom w:val="single" w:sz="8" w:space="0" w:color="000000"/>
            </w:tcBorders>
            <w:vAlign w:val="center"/>
          </w:tcPr>
          <w:p>
            <w:pPr>
              <w:pStyle w:val="TableContents"/>
              <w:bidi w:val="0"/>
              <w:spacing w:before="0" w:after="283"/>
              <w:jc w:val="center"/>
              <w:rPr>
                <w:b/>
              </w:rPr>
            </w:pPr>
            <w:bookmarkStart w:id="7" w:name="xdx_905_edei--EntityTaxIdentificationNum"/>
            <w:bookmarkEnd w:id="7"/>
            <w:r>
              <w:rPr>
                <w:b/>
              </w:rPr>
              <w:t>11-1986657</w:t>
            </w:r>
          </w:p>
        </w:tc>
      </w:tr>
      <w:tr>
        <w:trPr/>
        <w:tc>
          <w:tcPr>
            <w:tcW w:w="2630" w:type="dxa"/>
            <w:tcBorders/>
            <w:tcMar>
              <w:bottom w:w="0" w:type="dxa"/>
            </w:tcMar>
            <w:vAlign w:val="center"/>
          </w:tcPr>
          <w:p>
            <w:pPr>
              <w:pStyle w:val="TableContents"/>
              <w:bidi w:val="0"/>
              <w:spacing w:before="0" w:after="283"/>
              <w:jc w:val="center"/>
              <w:rPr/>
            </w:pPr>
            <w:r>
              <w:rPr/>
              <w:t xml:space="preserve">(State or Other Jurisdiction </w:t>
              <w:b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2195" w:type="dxa"/>
            <w:tcBorders/>
            <w:tcMar>
              <w:bottom w:w="0" w:type="dxa"/>
            </w:tcMar>
            <w:vAlign w:val="center"/>
          </w:tcPr>
          <w:p>
            <w:pPr>
              <w:pStyle w:val="TableContents"/>
              <w:bidi w:val="0"/>
              <w:spacing w:before="0" w:after="283"/>
              <w:jc w:val="center"/>
              <w:rPr/>
            </w:pPr>
            <w:r>
              <w:rPr/>
              <w:t xml:space="preserve">(IRS Employer </w:t>
              <w:br/>
              <w:t>Identification Number)</w:t>
            </w:r>
          </w:p>
        </w:tc>
      </w:tr>
    </w:tbl>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55 Charles Lindbergh Blvd.,</w:t>
      </w:r>
    </w:p>
    <w:p>
      <w:pPr>
        <w:pStyle w:val="TextBody"/>
        <w:bidi w:val="0"/>
        <w:spacing w:before="0" w:after="0"/>
        <w:ind w:left="144" w:right="144" w:hanging="0"/>
        <w:jc w:val="center"/>
        <w:rPr>
          <w:rFonts w:ascii="Times New Roman;Times;Serif" w:hAnsi="Times New Roman;Times;Serif"/>
          <w:b/>
          <w:i w:val="false"/>
          <w:caps w:val="false"/>
          <w:smallCaps w:val="false"/>
          <w:sz w:val="20"/>
          <w:u w:val="single"/>
        </w:rPr>
      </w:pPr>
      <w:bookmarkStart w:id="9" w:name="xdx_90D_edei--EntityAddressCityOrTown_c2"/>
      <w:bookmarkEnd w:id="9"/>
      <w:r>
        <w:rPr>
          <w:rFonts w:ascii="Times New Roman;Times;Serif" w:hAnsi="Times New Roman;Times;Serif"/>
          <w:b/>
          <w:i w:val="false"/>
          <w:caps w:val="false"/>
          <w:smallCaps w:val="false"/>
          <w:sz w:val="20"/>
          <w:u w:val="single"/>
        </w:rPr>
        <w:t xml:space="preserve">Mitchel Field, </w:t>
      </w:r>
      <w:bookmarkStart w:id="10" w:name="xdx_907_edei--EntityAddressStateOrProvin"/>
      <w:bookmarkEnd w:id="10"/>
      <w:r>
        <w:rPr>
          <w:rFonts w:ascii="Times New Roman;Times;Serif" w:hAnsi="Times New Roman;Times;Serif"/>
          <w:b/>
          <w:i w:val="false"/>
          <w:caps w:val="false"/>
          <w:smallCaps w:val="false"/>
          <w:sz w:val="20"/>
          <w:u w:val="single"/>
        </w:rPr>
        <w:t xml:space="preserve">New York </w:t>
      </w:r>
      <w:bookmarkStart w:id="11" w:name="xdx_900_edei--EntityAddressPostalZipCode"/>
      <w:bookmarkEnd w:id="11"/>
      <w:r>
        <w:rPr>
          <w:rFonts w:ascii="Times New Roman;Times;Serif" w:hAnsi="Times New Roman;Times;Serif"/>
          <w:b/>
          <w:i w:val="false"/>
          <w:caps w:val="false"/>
          <w:smallCaps w:val="false"/>
          <w:sz w:val="20"/>
          <w:u w:val="single"/>
        </w:rPr>
        <w:t>11553</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144" w:right="144" w:hanging="0"/>
        <w:jc w:val="left"/>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9_edei--CityAreaCode_c20260715__20"/>
      <w:bookmarkEnd w:id="12"/>
      <w:r>
        <w:rPr>
          <w:rFonts w:ascii="Times New Roman;Times;Serif" w:hAnsi="Times New Roman;Times;Serif"/>
          <w:b/>
          <w:i w:val="false"/>
          <w:caps w:val="false"/>
          <w:smallCaps w:val="false"/>
          <w:sz w:val="20"/>
        </w:rPr>
        <w:t xml:space="preserve">516) </w:t>
      </w:r>
      <w:bookmarkStart w:id="13" w:name="xdx_90E_edei--LocalPhoneNumber_c20260715"/>
      <w:bookmarkEnd w:id="13"/>
      <w:r>
        <w:rPr>
          <w:rFonts w:ascii="Times New Roman;Times;Serif" w:hAnsi="Times New Roman;Times;Serif"/>
          <w:b/>
          <w:i w:val="false"/>
          <w:caps w:val="false"/>
          <w:smallCaps w:val="false"/>
          <w:sz w:val="20"/>
        </w:rPr>
        <w:t>794-4500</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144" w:right="144"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name or former address, if changed since last report): </w:t>
      </w:r>
      <w:r>
        <w:rPr>
          <w:rFonts w:ascii="Times New Roman;Times;Serif" w:hAnsi="Times New Roman;Times;Serif"/>
          <w:b/>
          <w:i w:val="false"/>
          <w:caps w:val="false"/>
          <w:smallCaps w:val="false"/>
          <w:sz w:val="20"/>
        </w:rPr>
        <w:t>Not Applicable</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jc w:val="both"/>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4" w:name="xdx_905_edei--WrittenCommunications_c202"/>
            <w:bookmarkEnd w:id="14"/>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jc w:val="both"/>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5" w:name="xdx_905_edei--SolicitingMaterial_c202607"/>
            <w:bookmarkEnd w:id="15"/>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6" w:name="xdx_903_edei--PreCommencementTenderOffer"/>
            <w:bookmarkEnd w:id="16"/>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both"/>
              <w:rPr/>
            </w:pPr>
            <w:bookmarkStart w:id="17" w:name="xdx_909_edei--PreCommencementIssuerTende"/>
            <w:bookmarkEnd w:id="17"/>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935"/>
        <w:gridCol w:w="60"/>
        <w:gridCol w:w="1865"/>
        <w:gridCol w:w="60"/>
        <w:gridCol w:w="4285"/>
      </w:tblGrid>
      <w:tr>
        <w:trPr/>
        <w:tc>
          <w:tcPr>
            <w:tcW w:w="3935"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865" w:type="dxa"/>
            <w:tcBorders>
              <w:bottom w:val="single" w:sz="8"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285" w:type="dxa"/>
            <w:tcBorders>
              <w:bottom w:val="single" w:sz="8" w:space="0" w:color="000000"/>
            </w:tcBorders>
            <w:vAlign w:val="center"/>
          </w:tcPr>
          <w:p>
            <w:pPr>
              <w:pStyle w:val="TableContents"/>
              <w:bidi w:val="0"/>
              <w:spacing w:before="0" w:after="283"/>
              <w:jc w:val="center"/>
              <w:rPr>
                <w:b/>
              </w:rPr>
            </w:pPr>
            <w:r>
              <w:rPr>
                <w:b/>
              </w:rPr>
              <w:t>Name of each exchange on which registered</w:t>
            </w:r>
          </w:p>
        </w:tc>
      </w:tr>
      <w:tr>
        <w:trPr/>
        <w:tc>
          <w:tcPr>
            <w:tcW w:w="3935" w:type="dxa"/>
            <w:tcBorders/>
            <w:tcMar>
              <w:bottom w:w="0" w:type="dxa"/>
            </w:tcMar>
            <w:vAlign w:val="center"/>
          </w:tcPr>
          <w:p>
            <w:pPr>
              <w:pStyle w:val="TableContents"/>
              <w:bidi w:val="0"/>
              <w:spacing w:before="0" w:after="283"/>
              <w:jc w:val="center"/>
              <w:rPr/>
            </w:pPr>
            <w:bookmarkStart w:id="18" w:name="xdx_901_edei--Security12bTitle_c20260715"/>
            <w:bookmarkEnd w:id="18"/>
            <w:r>
              <w:rPr/>
              <w:t>Common Stock (par value $1.00 per share)</w:t>
            </w:r>
          </w:p>
        </w:tc>
        <w:tc>
          <w:tcPr>
            <w:tcW w:w="60" w:type="dxa"/>
            <w:tcBorders/>
            <w:tcMar>
              <w:bottom w:w="0" w:type="dxa"/>
            </w:tcMar>
            <w:vAlign w:val="center"/>
          </w:tcPr>
          <w:p>
            <w:pPr>
              <w:pStyle w:val="TableContents"/>
              <w:bidi w:val="0"/>
              <w:spacing w:before="0" w:after="283"/>
              <w:jc w:val="center"/>
              <w:rPr/>
            </w:pPr>
            <w:r>
              <w:rPr/>
              <w:t> </w:t>
            </w:r>
          </w:p>
        </w:tc>
        <w:tc>
          <w:tcPr>
            <w:tcW w:w="1865" w:type="dxa"/>
            <w:tcBorders/>
            <w:tcMar>
              <w:bottom w:w="0" w:type="dxa"/>
            </w:tcMar>
            <w:vAlign w:val="center"/>
          </w:tcPr>
          <w:p>
            <w:pPr>
              <w:pStyle w:val="TableContents"/>
              <w:bidi w:val="0"/>
              <w:spacing w:before="0" w:after="283"/>
              <w:jc w:val="center"/>
              <w:rPr/>
            </w:pPr>
            <w:bookmarkStart w:id="19" w:name="xdx_90C_edei--TradingSymbol_c20260715__2"/>
            <w:bookmarkEnd w:id="19"/>
            <w:r>
              <w:rPr/>
              <w:t>FEIM</w:t>
            </w:r>
          </w:p>
        </w:tc>
        <w:tc>
          <w:tcPr>
            <w:tcW w:w="60" w:type="dxa"/>
            <w:tcBorders/>
            <w:tcMar>
              <w:bottom w:w="0" w:type="dxa"/>
            </w:tcMar>
            <w:vAlign w:val="center"/>
          </w:tcPr>
          <w:p>
            <w:pPr>
              <w:pStyle w:val="TableContents"/>
              <w:bidi w:val="0"/>
              <w:spacing w:before="0" w:after="283"/>
              <w:jc w:val="center"/>
              <w:rPr/>
            </w:pPr>
            <w:r>
              <w:rPr/>
              <w:t> </w:t>
            </w:r>
          </w:p>
        </w:tc>
        <w:tc>
          <w:tcPr>
            <w:tcW w:w="4285" w:type="dxa"/>
            <w:tcBorders/>
            <w:tcMar>
              <w:bottom w:w="0" w:type="dxa"/>
            </w:tcMar>
            <w:vAlign w:val="center"/>
          </w:tcPr>
          <w:p>
            <w:pPr>
              <w:pStyle w:val="TableContents"/>
              <w:bidi w:val="0"/>
              <w:spacing w:before="0" w:after="283"/>
              <w:jc w:val="center"/>
              <w:rPr/>
            </w:pPr>
            <w:bookmarkStart w:id="20" w:name="xdx_905_edei--SecurityExchangeName_c2026"/>
            <w:bookmarkEnd w:id="20"/>
            <w:r>
              <w:rPr/>
              <w:t>NASDAQ Global Market</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caps w:val="false"/>
          <w:smallCaps w:val="false"/>
        </w:rPr>
      </w:pPr>
      <w:r>
        <w:rPr>
          <w:caps w:val="false"/>
          <w:smallCaps w:val="false"/>
        </w:rPr>
        <w:t> </w:t>
      </w:r>
    </w:p>
    <w:p>
      <w:pPr>
        <w:pStyle w:val="TextBody"/>
        <w:bidi w:val="0"/>
        <w:ind w:left="144" w:right="144" w:hanging="0"/>
        <w:jc w:val="left"/>
        <w:rPr>
          <w:bdr w:val="single" w:sz="8" w:space="1" w:color="000000"/>
        </w:rPr>
      </w:pPr>
      <w:r>
        <w:rPr>
          <w:bdr w:val="single" w:sz="8" w:space="1" w:color="000000"/>
        </w:rPr>
        <w:t> </w:t>
      </w:r>
    </w:p>
    <w:p>
      <w:pPr>
        <w:pStyle w:val="TextBody"/>
        <w:bidi w:val="0"/>
        <w:spacing w:before="0" w:after="0"/>
        <w:ind w:left="144" w:right="144"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2.02.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15, 2026, Frequency Electronics, Inc. (the “Company”) issued a press release (the “Press Release”) announcing its financial results for the year ended April 30, 2026. A copy of the Press Release is attached as Exhibit 99.1 to this Current Report on Form 8-K and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Item 2.02 of this Current Report on Form 8-K, including Exhibit 99.1 hereto, shall not be deemed “filed” for the purposes of Section 18 of the Securities Exchange Act of 1934, as amended, or otherwise subject to the liabilities of that section. The information in this Item 2.02 of this Current Report on Form 8-K, including Exhibit 99.1, shall not be incorporated by reference into any filing or other document pursuant to the Securities Act of 1933, as amended, except as shall be expressly set forth by specific reference in such filing or document.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9.01.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Exhibits</w:t>
      </w:r>
    </w:p>
    <w:p>
      <w:pPr>
        <w:pStyle w:val="TextBody"/>
        <w:bidi w:val="0"/>
        <w:spacing w:before="0" w:after="0"/>
        <w:ind w:left="0" w:right="0" w:firstLine="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sz w:val="20"/>
              </w:rPr>
            </w:pPr>
            <w:r>
              <w:rPr>
                <w:sz w:val="20"/>
              </w:rPr>
              <w:t>99.1</w:t>
            </w:r>
          </w:p>
        </w:tc>
        <w:tc>
          <w:tcPr>
            <w:tcW w:w="9750" w:type="dxa"/>
            <w:tcBorders/>
            <w:vAlign w:val="center"/>
          </w:tcPr>
          <w:p>
            <w:pPr>
              <w:pStyle w:val="TableContents"/>
              <w:bidi w:val="0"/>
              <w:spacing w:before="0" w:after="283"/>
              <w:jc w:val="left"/>
              <w:rPr/>
            </w:pPr>
            <w:hyperlink w:anchor="feimex99-1.htm">
              <w:r>
                <w:rPr>
                  <w:rStyle w:val="InternetLink"/>
                  <w:sz w:val="20"/>
                </w:rPr>
                <w:t>Press release issued on July 15, 2026, by the Company announcing its financial results for the year ended April 30, 2026</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sz w:val="20"/>
              </w:rPr>
            </w:pPr>
            <w:r>
              <w:rPr>
                <w:sz w:val="20"/>
              </w:rPr>
              <w:t>104</w:t>
            </w:r>
          </w:p>
        </w:tc>
        <w:tc>
          <w:tcPr>
            <w:tcW w:w="9750" w:type="dxa"/>
            <w:tcBorders/>
            <w:vAlign w:val="center"/>
          </w:tcPr>
          <w:p>
            <w:pPr>
              <w:pStyle w:val="TableContents"/>
              <w:bidi w:val="0"/>
              <w:spacing w:before="0" w:after="283"/>
              <w:jc w:val="left"/>
              <w:rPr>
                <w:sz w:val="20"/>
              </w:rPr>
            </w:pPr>
            <w:r>
              <w:rPr>
                <w:sz w:val="20"/>
              </w:rPr>
              <w:t>Cover Page Interactive Data File (formatted in Inline XBRL)</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7080" w:type="dxa"/>
        <w:jc w:val="left"/>
        <w:tblInd w:w="0" w:type="dxa"/>
        <w:tblLayout w:type="fixed"/>
        <w:tblCellMar>
          <w:top w:w="0" w:type="dxa"/>
          <w:left w:w="0" w:type="dxa"/>
          <w:bottom w:w="0" w:type="dxa"/>
          <w:right w:w="0" w:type="dxa"/>
        </w:tblCellMar>
      </w:tblPr>
      <w:tblGrid>
        <w:gridCol w:w="1835"/>
        <w:gridCol w:w="650"/>
        <w:gridCol w:w="4595"/>
      </w:tblGrid>
      <w:tr>
        <w:trPr/>
        <w:tc>
          <w:tcPr>
            <w:tcW w:w="1835" w:type="dxa"/>
            <w:tcBorders/>
            <w:vAlign w:val="center"/>
          </w:tcPr>
          <w:p>
            <w:pPr>
              <w:pStyle w:val="TableContents"/>
              <w:bidi w:val="0"/>
              <w:spacing w:before="0" w:after="283"/>
              <w:jc w:val="left"/>
              <w:rPr/>
            </w:pPr>
            <w:r>
              <w:rPr/>
              <w:t>Date July 15, 2026</w:t>
            </w:r>
          </w:p>
        </w:tc>
        <w:tc>
          <w:tcPr>
            <w:tcW w:w="524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524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5245" w:type="dxa"/>
            <w:gridSpan w:val="2"/>
            <w:tcBorders/>
            <w:vAlign w:val="center"/>
          </w:tcPr>
          <w:p>
            <w:pPr>
              <w:pStyle w:val="TableContents"/>
              <w:bidi w:val="0"/>
              <w:spacing w:before="0" w:after="283"/>
              <w:jc w:val="left"/>
              <w:rPr>
                <w:b/>
              </w:rPr>
            </w:pPr>
            <w:r>
              <w:rPr>
                <w:b/>
              </w:rPr>
              <w:t>FREQUENCY ELECTRONICS, INC.</w:t>
            </w:r>
          </w:p>
        </w:tc>
      </w:tr>
      <w:tr>
        <w:trPr/>
        <w:tc>
          <w:tcPr>
            <w:tcW w:w="1835" w:type="dxa"/>
            <w:tcBorders/>
            <w:vAlign w:val="center"/>
          </w:tcPr>
          <w:p>
            <w:pPr>
              <w:pStyle w:val="TableContents"/>
              <w:bidi w:val="0"/>
              <w:spacing w:before="0" w:after="283"/>
              <w:jc w:val="left"/>
              <w:rPr/>
            </w:pPr>
            <w:r>
              <w:rPr/>
              <w:t> </w:t>
            </w:r>
          </w:p>
        </w:tc>
        <w:tc>
          <w:tcPr>
            <w:tcW w:w="5245" w:type="dxa"/>
            <w:gridSpan w:val="2"/>
            <w:tcBorders/>
            <w:vAlign w:val="center"/>
          </w:tcPr>
          <w:p>
            <w:pPr>
              <w:pStyle w:val="TableContents"/>
              <w:bidi w:val="0"/>
              <w:spacing w:before="0" w:after="283"/>
              <w:jc w:val="left"/>
              <w:rPr/>
            </w:pPr>
            <w:r>
              <w:rPr/>
              <w:t> </w:t>
            </w:r>
          </w:p>
        </w:tc>
      </w:tr>
      <w:tr>
        <w:trPr/>
        <w:tc>
          <w:tcPr>
            <w:tcW w:w="18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4595" w:type="dxa"/>
            <w:tcBorders>
              <w:bottom w:val="single" w:sz="8" w:space="0" w:color="000000"/>
            </w:tcBorders>
            <w:tcMar>
              <w:bottom w:w="28" w:type="dxa"/>
            </w:tcMar>
            <w:vAlign w:val="center"/>
          </w:tcPr>
          <w:p>
            <w:pPr>
              <w:pStyle w:val="TableContents"/>
              <w:bidi w:val="0"/>
              <w:spacing w:before="0" w:after="283"/>
              <w:jc w:val="left"/>
              <w:rPr/>
            </w:pPr>
            <w:r>
              <w:rPr/>
              <w:t>/s/ Steven L. Bernstein</w:t>
            </w:r>
          </w:p>
        </w:tc>
      </w:tr>
      <w:tr>
        <w:trPr/>
        <w:tc>
          <w:tcPr>
            <w:tcW w:w="18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4595" w:type="dxa"/>
            <w:tcBorders/>
            <w:vAlign w:val="center"/>
          </w:tcPr>
          <w:p>
            <w:pPr>
              <w:pStyle w:val="TableContents"/>
              <w:bidi w:val="0"/>
              <w:spacing w:before="0" w:after="283"/>
              <w:jc w:val="left"/>
              <w:rPr/>
            </w:pPr>
            <w:r>
              <w:rPr/>
              <w:t>Steven L. Bernstein</w:t>
            </w:r>
          </w:p>
        </w:tc>
      </w:tr>
      <w:tr>
        <w:trPr/>
        <w:tc>
          <w:tcPr>
            <w:tcW w:w="183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4595" w:type="dxa"/>
            <w:tcBorders/>
            <w:vAlign w:val="center"/>
          </w:tcPr>
          <w:p>
            <w:pPr>
              <w:pStyle w:val="TableContents"/>
              <w:bidi w:val="0"/>
              <w:spacing w:before="0" w:after="283"/>
              <w:jc w:val="left"/>
              <w:rPr/>
            </w:pPr>
            <w:r>
              <w:rPr/>
              <w:t>Chief Financial Officer, Secretary and Treasurer</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feimex99-1.htm"/>
      <w:bookmarkStart w:id="23" w:name="ksfeimex991"/>
      <w:bookmarkEnd w:id="22"/>
      <w:bookmarkEnd w:id="23"/>
      <w:r>
        <w:rPr>
          <w:rFonts w:ascii="Times New Roman;Times;Serif" w:hAnsi="Times New Roman;Times;Serif"/>
          <w:b/>
          <w:i w:val="false"/>
          <w:caps w:val="false"/>
          <w:smallCaps w:val="false"/>
          <w:sz w:val="20"/>
        </w:rPr>
        <w:t>Exhibit 99.1</w:t>
      </w:r>
      <w:r>
        <w:br w:type="page"/>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PRESS RELEASE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Frequency Electronics, Inc. Announces Fourth Quarter and Fiscal Year 2026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720" w:right="0" w:hanging="36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u w:val="single"/>
        </w:rPr>
        <w:t>Announces Record $111 Million Funded Backlog, up 34% Sequentially and 59% Annually</w:t>
      </w:r>
    </w:p>
    <w:p>
      <w:pPr>
        <w:pStyle w:val="TextBody"/>
        <w:bidi w:val="0"/>
        <w:spacing w:before="0" w:after="0"/>
        <w:ind w:left="720" w:right="0" w:hanging="36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u w:val="single"/>
        </w:rPr>
        <w:t>Establishes Three-Year Minimum Gross Margin Target of 50% and Operating Margin Target of 30%</w:t>
      </w:r>
    </w:p>
    <w:p>
      <w:pPr>
        <w:pStyle w:val="TextBody"/>
        <w:bidi w:val="0"/>
        <w:spacing w:before="0" w:after="0"/>
        <w:ind w:left="720" w:right="0" w:hanging="36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u w:val="single"/>
        </w:rPr>
        <w:t>Reaffirms Three-Year Revenue Target of at Least $150 million, a 34% CAGR</w:t>
      </w:r>
    </w:p>
    <w:p>
      <w:pPr>
        <w:pStyle w:val="TextBody"/>
        <w:bidi w:val="0"/>
        <w:spacing w:before="0" w:after="0"/>
        <w:ind w:left="720" w:right="0" w:hanging="360"/>
        <w:jc w:val="center"/>
        <w:rPr>
          <w:caps w:val="false"/>
          <w:smallCaps w:val="false"/>
        </w:rPr>
      </w:pPr>
      <w:r>
        <w:rPr>
          <w:caps w:val="false"/>
          <w:smallCaps w:val="false"/>
        </w:rPr>
        <w:t xml:space="preserve">● </w:t>
      </w:r>
      <w:r>
        <w:rPr>
          <w:rFonts w:ascii="Times New Roman;Times;Serif" w:hAnsi="Times New Roman;Times;Serif"/>
          <w:b/>
          <w:i w:val="false"/>
          <w:caps w:val="false"/>
          <w:smallCaps w:val="false"/>
          <w:sz w:val="20"/>
          <w:u w:val="single"/>
        </w:rPr>
        <w:t>Establishes Path for Strong Operating Leverage by Front-Loading Investments and Pruning Non-Core Business</w:t>
      </w:r>
    </w:p>
    <w:p>
      <w:pPr>
        <w:pStyle w:val="TextBody"/>
        <w:bidi w:val="0"/>
        <w:spacing w:before="0" w:after="0"/>
        <w:ind w:left="720" w:right="0" w:hanging="36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Mitchel Field, NY, July 15, 2026 – Frequency Electronics, Inc. (“FEI,” “Frequency,” the “Company,” “we” or “us”) (NASDAQ-FEIM) today announced its financial results for the fourth quarter and fiscal year 2026 and provided significant updates to its future profitability profile.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 President and CEO, Tom McClelland, commented, “As we have mentioned before, Fiscal 2026 was a year of digestion from a revenue standpoint, as we pulled forward some revenue into last year’s Fiscal 2025. But it was also a critically important year for the future of Frequency as we significantly expanded our funded backlog, giving us excellent visibility into coming growth. Just two quarters ago, we told investors that we believed we could see backlog north of $100 million in the not-too-distant future. Today we are extremely pleased to report that our backlog reached $111 million at the end of our fiscal fourth quarter, up 34% sequentially and 59% over the same period last year. It was because of this continuing expansion of our backlog and order book, as well as the significantly larger end-markets that we are now selling into, all of which are based on technology that leverages our long-standing market leadership in space and defense applications, that we felt confident giving a three-year minimum revenue target of $150 million on April 30, 2026, representing a 34% compound annual growth rate from our Fiscal 2026 revenue. Today we reaffirm our minimum revenue target of $150 million by Fiscal 2029, and, beginning in Fiscal 2027, our current fiscal year, we will begin delivering on this target through revenue growth, starting in our current first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Future Margin Targets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 Fiscal 2027, we also intend to begin demonstrating a multi-year path to higher margins. To that end, we are today establishing a minimum gross margin target of 50% and a minimum operating margin target of 30% by Fiscal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The path to these higher margins is largely in our control and is a direct result of the significant business shift we are undertaking. On the gross margin side, we anticipate seeing meaningful improvement from two significant levers. The first is the much higher revenue base we are targeting, as we have previously discussed, and which we believe is well supported by our backlog, order book, industry trends and government funding. In addition, due to customer demand, we are moving from a bespoke manufacturer of exquisite products with more episodic production schedules to a high-rate production company making many more units of similar products on a more consistent basis. We believe this higher-rate production model will be more predictable, allow for better overhead absorption and feature less non-recurring engineering costs as a percentage of total business, all of which should drive gross margins to at least 50% by Fiscal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In addition, we believe we will demonstrate very strong operating leverage in the business, such that as revenue increases sharply, we should gain meaningful efficiencies on our research and development (“R&amp;D”) and selling and administrative expenses (“SG&amp;A”). Based on the gross margin target outlined above, and those operating expense efficiencies in R&amp;D and SG&amp;A, we believe we will then be able to generate minimum operating margins of 30% by Fiscal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Investments in Growth, Business Restructuring and Non-Recurring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McClelland further added: “We invested significantly in the business during Fiscal 2026 in order to better prepare the Company for the anticipated strong growth ahead. The majority of this investment was focused on hiring engineering talent in advance of the large ramp-up in production and revenue we are expecting. This had near-term dampening effects on gross margin, as engineering costs flow through the manufacturing overhead portion of our cost of goods sold, raising this expense before the corresponding revenue is generated. A second meaningful investment during Fiscal 2026 was a significant manufacturing efficiency project. This business process improvement investment should allow us to improve turnaround time. The related expenses flowed through overhead and had a similar adverse impact on gross margins. But with increasing orders and strong demand, we think such investments are prudent long-term decisions and will allow the Company to be ready for that business and to super-serve our customers, who increasingly want more work done more quickly. We believe this should meaningfully benefit our stockholders as well, as we seek to increasingly provide higher levels of mission-critical products that perform to the highest standards in the harshest environments and do so with high incremental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Further, we have increased our internal focus on our largest and most profitable market opportunities, and de-emphasized or discontinued products with lower growth potential and lower margin profiles that have historically been part of our business. Specifically, we chose to restructure our FEI-Elcom manufacturing business in New Jersey in the fourth quarter because it simply did not have the growth or margin potential of our core space and defense markets, nor those of the much larger addressable markets we are now starting to sell into: alternative position, navigation and timing (ALT-PNT) solutions; quantum sensing, including magnetometers; space defense and exploration; and, proliferated satellite programs. Though we sacrificed some near-term revenue in the fourth quarter by doing so, we believe it is the right long-term decision to better align our capital and talent towards their highest and best use and potential returns. The FEI-Elcom restructuring included a $3.8 million inventory write-down, a non-cash charge which flowed through cost of goods sold and further depressed gross margins for this reported period, but which we believe is not reflective of ongoing business trends; additional severance costs flowed through selling and administrative expenses. Further, the restructuring charge of $3.8 million yielded a tax benefit of approximately $0.9 million in Q4 2026. Additionally, including the restructuring costs, the Company anticipates realizing approximately $9.3 million of future tax benefit, which will benefit the Company going forward as we return to profitable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Lastly, we had several non-recurring charges that flowed through operating expenses this quarter, the majority of which was a non-cash charge for an accrual related to a one-time change in employee sick/paid-time-off policies. Most of this charge flowed through cost of goods sold, impacting gross margins, and the balance flowed through selling and administrative expenses. As a result of these charges this quarter, we believe our as-reported results do not accurately reflect the core strength of our underlying business, which will pave the path towards the much higher revenue and margin levels we described earlier.”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Reported Results and Adjusted Levels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three and twelve months ended April 30, 2026, was approximately $15.4 million and $63.2 million, respectively, compared to $20.0 million and $69.8 million, respectively, reported for the same period of fiscal year 2025. Operating loss for the three and twelve months ended April 30, 2026 was $6.3 million and $3.0 million, respectively, compared to an operating income of $3.3 million and $11.7 million, respectively, reported for the same period of the previous fiscal year. Net loss from operations for the three and twelve months ended April 30, 2026, was $4.9 million or ($0.50) per diluted share and $0.9 million or ($0.09) per diluted share, respectively, compared to a net income from operations for the three and twelve months ended April 30, 2025 of $3.2 million or $0.33 per diluted share and $23.7 million or $2.46 per diluted share, respectively. Net cash provided by operating activities was approximately $1.3 million in the twelve months of fiscal year 2026, compared to net cash used in operations of $1.4 million for the same period of fiscal year 2025. Backlog at April 30, 2026 was approximately $111 million compared to $70 million at April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FEI Chief Financial Officer Steve Bernstein commented, “The fiscal fourth quarter in 2025 was the highest quarterly revenue in 25 years for FEI, which made for a difficult year-over-year comparison as we digested some of that pulled forward revenue in Fiscal 2026; however, we expect to start hitting new quarterly revenue records for the Company in the near future, based on the strength in our backlog and order book. We took a number of actions in the fiscal fourth quarter and in Fiscal 2026, including significant cash investments, that adversely impacted our as-reported margins. We provide tables at the end of this release that show the impact of these charges and investments and what they would have been without the charges. We are not adjusting for foregone revenue from the restructuring of FEI-Elcom, though certainly higher revenue would have made for an improved comparison. In sum, as the tables show below, our gross margins and operating margins were approximately 1% and (41)%, respectively, for the quarter, and approximately 29% and (5)%, respectively, for the fiscal year. Whereas, adjusted for the charges and investments, our gross margins and operating margins would have been approximately 36% and 1%, respectively, for the quarter, and approximately 41% and 11%, respectively, for the fiscal year.</w:t>
      </w: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These are levels we anticipate growing meaningfully in the years to come, as stated earlier. The Company made significant cash investments during Fiscal 2026, but expects to return to normal cash generation in Fiscal 2027, beginning in our current fiscal first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Investor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the Company will hold a conference call to discuss these results on Wednesday, July 15, 2026, at 4:30 PM Eastern Time. Investors and analysts may access the call by dialing 1-888-506-0062. International callers may dial 1-973-528-0011. Callers should provide participant access code: 941406 or ask for the Frequency Electronics 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archived call may be accessed by calling 1-877-481-4010 (domestic), or 1-919-882-2331 (international), for one week following the call (replay passcode: 54269). Subsequent to that, the call can be accessed via a link available on the Company’s website through October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tbl>
      <w:tblPr>
        <w:tblW w:w="9843" w:type="dxa"/>
        <w:jc w:val="left"/>
        <w:tblInd w:w="0" w:type="dxa"/>
        <w:tblLayout w:type="fixed"/>
        <w:tblCellMar>
          <w:top w:w="0" w:type="dxa"/>
          <w:left w:w="0" w:type="dxa"/>
          <w:bottom w:w="0" w:type="dxa"/>
          <w:right w:w="0" w:type="dxa"/>
        </w:tblCellMar>
      </w:tblPr>
      <w:tblGrid>
        <w:gridCol w:w="38"/>
        <w:gridCol w:w="95"/>
        <w:gridCol w:w="9710"/>
      </w:tblGrid>
      <w:tr>
        <w:trPr/>
        <w:tc>
          <w:tcPr>
            <w:tcW w:w="38"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Times New Roman;Times;Serif" w:hAnsi="Times New Roman;Times;Serif"/>
                <w:position w:val="5"/>
                <w:sz w:val="13"/>
                <w:sz w:val="16"/>
              </w:rPr>
            </w:pPr>
            <w:r>
              <w:rPr>
                <w:rFonts w:ascii="Times New Roman;Times;Serif" w:hAnsi="Times New Roman;Times;Serif"/>
                <w:position w:val="5"/>
                <w:sz w:val="13"/>
                <w:sz w:val="16"/>
              </w:rPr>
              <w:t>1</w:t>
            </w:r>
          </w:p>
        </w:tc>
        <w:tc>
          <w:tcPr>
            <w:tcW w:w="9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These adjusted financial metrics are non-GAAP measures. See “Non-GAAP Measures” below for additional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Frequency Electronics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Frequency Electronics, Inc. (FEI) is a world leader in precision time and frequency generation technology, which is incorporated into commercial and U.S. Government satellites, Command, Control, Communication, Computer, Intelligence, Surveillance and Reconnaissance (“C4ISR”), and Electronic Warfare (“EW”) systems. Its technology is used for a wide range of space and non-space applications. FEI has received over 100 awards of excellence for achievements in providing high performance electronic assemblies for over 150 space and DOW programs. The Company invests significant resources in research and development to expand its capabilities and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FEI’s Mission Statement:</w:t>
      </w:r>
      <w:r>
        <w:rPr>
          <w:rFonts w:ascii="Times New Roman;Times;Serif" w:hAnsi="Times New Roman;Times;Serif"/>
          <w:b w:val="false"/>
          <w:i w:val="false"/>
          <w:caps w:val="false"/>
          <w:smallCaps w:val="false"/>
          <w:sz w:val="20"/>
        </w:rPr>
        <w:t xml:space="preserve"> “Our mission is to transform discoveries and demonstrations made in research laboratories into practical, real-world products. We are proud of a legacy which has delivered precision time and frequency generation products, for space and other world-changing applications that are unavailable from any other source. We aim to continue that legacy while adapting our products and expertise to the needs of the future. With a relentless emphasis on excellence in everything we do, we aim, in these ways, to create value for our customers, employees, and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u w:val="single"/>
        </w:rPr>
        <w:t>Use of Non-GAAP Financial Information:</w:t>
      </w:r>
      <w:r>
        <w:rPr>
          <w:rFonts w:ascii="Times New Roman;Times;Serif" w:hAnsi="Times New Roman;Times;Serif"/>
          <w:b w:val="false"/>
          <w:i w:val="false"/>
          <w:caps w:val="false"/>
          <w:smallCaps w:val="false"/>
          <w:sz w:val="20"/>
        </w:rPr>
        <w:t xml:space="preserve"> The Company reports its financial results in accordance with U.S. generally accepted accounting principles (GAAP). Additionally, the Company provides certain financial measures in this press release that are not measures of financial performance under GAAP. The non-GAAP financial information presented excludes certain significant items that may not be indicative of, or are unrelated to, results from our ongoing business operations. We believe that these non-GAAP measures provide investors with additional insight into the Company’s ongoing business performance. These non-GAAP measures, defined below, should be viewed as supplements to (not substitutes for) our results of operations and other measures reported under GAAP. Other companies may define or calculate these non-GAAP measures differently. We encourage investors to review our financial statements and publicly-filed reports in their entirety and not to rely on any single financial measure. Reconciliations of these non-GAAP measures to the most closely comparable GAAP measures are presented below under “Reconciliation of Reported to Adjusted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Adjusted for Non-Recurring” measures in the statements of operations. We present certain measures, or line items, of the statements of operations that are “Adjusted for Non-Recurring” items. To calculate these measures, we have adjusted, as applicable, for (1) one time restructuring costs in connection with the business restructuring involving FEI-Elcom; (2) a non-cash charge for an accrual related to a one-time change in employee sick/paid-time-off policies; (3) costs associate with transformational engineering employment costs, including the Company’s expansion into Colorado in Fiscal 2026; and (4) one time business improvement costs associated with a significant manufacturing efficiency project.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Adjusted for Non-Recurring &amp; Future Investment” measures in the statements of operations. We present certain measures, or line items, of the statements of operations that are “Adjusted for Non-Recurring &amp; Future Investment” items. To calculate these measures, we have adjusted, as applicable, for each of the items described above with respect to “Adjusted for Non-Recurring” measures and have further adjusted to include costs related to future investments with respect to these same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hanging="36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Forward-Looking Statements</w:t>
      </w:r>
    </w:p>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statements in this press release regarding future earnings and operations, including statements regarding our three-year gross margin target, our three-year operating margin target, our three-year revenue target and similar targets or objectives,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the risks associated with reliance on key customers, including the U.S. government, the Company’s use of estimates when accounting for contracts, actions by significant customers or competitors, competitive factors, new products and technological changes, continued acceptance of the Company’s products in the marketplace, dependence upon third-party vendors, product prices and raw material costs, the Company’s ability to attract and retain key employees, general domestic and international economic conditions, health epidemics and pandemics, external disruptions to the Company’s facilities or supply chain, the Company’s operations in a highly regulated industry, the outcome of any litigation and arbitration proceedings, cybersecurity attacks, noncompliance with any of the covenants in the credit agreement, volatility in the Company’s stock price, including due to the relatively low trading volume of its common stock, and failure to maintain an effective system of internal controls over financial reporting. The factors listed above are not exhaustive and should be read in conjunction with the other cautionary statements that are included in this release and in our filings with the Securities and Exchange Commission. The Company’s Annual Report on Form 10-K for the fiscal year ended April 30, 2025, filed on July 18, 2025 with the Securities and Exchange Commission includes additional factors that could materially and adversely impact the Company’s business, financial condition and results of operations, as such factors are updated from time to time in our periodic filings with the Securities and Exchange Commission, which are accessible on the Securities and Exchange Commission’s website at www.sec.gov.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press release and any other public statement made by the Company or its management may turn out to be incorrect. The Company expressly disclaims any obligation to update or revise any forward-looking statements, whether as a result of new information, future events or otherwise, except as required by law.</w:t>
      </w:r>
    </w:p>
    <w:p>
      <w:pPr>
        <w:pStyle w:val="TextBody"/>
        <w:bidi w:val="0"/>
        <w:spacing w:before="0" w:after="0"/>
        <w:ind w:left="0" w:right="0" w:hanging="0"/>
        <w:jc w:val="left"/>
        <w:rPr>
          <w:caps w:val="false"/>
          <w:smallCaps w:val="false"/>
        </w:rPr>
      </w:pPr>
      <w:r>
        <w:rPr>
          <w:caps w:val="false"/>
          <w:smallCaps w:val="false"/>
        </w:rPr>
        <w:t> </w:t>
      </w:r>
    </w:p>
    <w:tbl>
      <w:tblPr>
        <w:tblW w:w="8110" w:type="dxa"/>
        <w:jc w:val="left"/>
        <w:tblInd w:w="0" w:type="dxa"/>
        <w:tblLayout w:type="fixed"/>
        <w:tblCellMar>
          <w:top w:w="0" w:type="dxa"/>
          <w:left w:w="0" w:type="dxa"/>
          <w:bottom w:w="0" w:type="dxa"/>
          <w:right w:w="0" w:type="dxa"/>
        </w:tblCellMar>
      </w:tblPr>
      <w:tblGrid>
        <w:gridCol w:w="1985"/>
        <w:gridCol w:w="6125"/>
      </w:tblGrid>
      <w:tr>
        <w:trPr/>
        <w:tc>
          <w:tcPr>
            <w:tcW w:w="1985" w:type="dxa"/>
            <w:tcBorders/>
            <w:vAlign w:val="center"/>
          </w:tcPr>
          <w:p>
            <w:pPr>
              <w:pStyle w:val="TableContents"/>
              <w:bidi w:val="0"/>
              <w:spacing w:before="0" w:after="283"/>
              <w:jc w:val="left"/>
              <w:rPr/>
            </w:pPr>
            <w:r>
              <w:rPr/>
              <w:t>Contact information:</w:t>
            </w:r>
          </w:p>
        </w:tc>
        <w:tc>
          <w:tcPr>
            <w:tcW w:w="6125" w:type="dxa"/>
            <w:tcBorders/>
            <w:vAlign w:val="center"/>
          </w:tcPr>
          <w:p>
            <w:pPr>
              <w:pStyle w:val="TableContents"/>
              <w:bidi w:val="0"/>
              <w:spacing w:before="0" w:after="283"/>
              <w:jc w:val="left"/>
              <w:rPr/>
            </w:pPr>
            <w:r>
              <w:rPr/>
              <w:t>Dr. Thomas McClelland, President and Chief Executive Officer;</w:t>
            </w:r>
          </w:p>
        </w:tc>
      </w:tr>
      <w:tr>
        <w:trPr/>
        <w:tc>
          <w:tcPr>
            <w:tcW w:w="1985" w:type="dxa"/>
            <w:tcBorders/>
            <w:vAlign w:val="center"/>
          </w:tcPr>
          <w:p>
            <w:pPr>
              <w:pStyle w:val="TableContents"/>
              <w:bidi w:val="0"/>
              <w:spacing w:before="0" w:after="283"/>
              <w:jc w:val="left"/>
              <w:rPr/>
            </w:pPr>
            <w:r>
              <w:rPr/>
              <w:t> </w:t>
            </w:r>
          </w:p>
        </w:tc>
        <w:tc>
          <w:tcPr>
            <w:tcW w:w="61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Bernstein, Chief Financial Officer;</w:t>
            </w:r>
          </w:p>
        </w:tc>
      </w:tr>
    </w:tbl>
    <w:p>
      <w:pPr>
        <w:pStyle w:val="TextBody"/>
        <w:bidi w:val="0"/>
        <w:spacing w:before="0" w:after="0"/>
        <w:jc w:val="left"/>
        <w:rPr>
          <w:caps w:val="false"/>
          <w:smallCaps w:val="false"/>
        </w:rPr>
      </w:pPr>
      <w:r>
        <w:rPr>
          <w:caps w:val="false"/>
          <w:smallCaps w:val="false"/>
        </w:rPr>
        <w:t> </w:t>
      </w:r>
    </w:p>
    <w:tbl>
      <w:tblPr>
        <w:tblW w:w="5750" w:type="dxa"/>
        <w:jc w:val="left"/>
        <w:tblInd w:w="0" w:type="dxa"/>
        <w:tblLayout w:type="fixed"/>
        <w:tblCellMar>
          <w:top w:w="0" w:type="dxa"/>
          <w:left w:w="0" w:type="dxa"/>
          <w:bottom w:w="0" w:type="dxa"/>
          <w:right w:w="0" w:type="dxa"/>
        </w:tblCellMar>
      </w:tblPr>
      <w:tblGrid>
        <w:gridCol w:w="1205"/>
        <w:gridCol w:w="2060"/>
        <w:gridCol w:w="965"/>
        <w:gridCol w:w="1520"/>
      </w:tblGrid>
      <w:tr>
        <w:trPr/>
        <w:tc>
          <w:tcPr>
            <w:tcW w:w="12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Telephone</w:t>
            </w:r>
            <w:r>
              <w:rPr>
                <w:rFonts w:ascii="Times New Roman;Times;Serif" w:hAnsi="Times New Roman;Times;Serif"/>
                <w:b w:val="false"/>
                <w:i w:val="false"/>
                <w:caps w:val="false"/>
                <w:smallCaps w:val="false"/>
                <w:sz w:val="20"/>
              </w:rPr>
              <w:t>:</w:t>
            </w:r>
          </w:p>
        </w:tc>
        <w:tc>
          <w:tcPr>
            <w:tcW w:w="20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794-4500 ext.5000</w:t>
            </w:r>
          </w:p>
        </w:tc>
        <w:tc>
          <w:tcPr>
            <w:tcW w:w="9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smallCaps/>
                <w:sz w:val="20"/>
              </w:rPr>
              <w:t>WEBSITE</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w:t>
            </w:r>
          </w:p>
        </w:tc>
        <w:tc>
          <w:tcPr>
            <w:tcW w:w="15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www.freqelec.com</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80" w:right="0" w:hanging="18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jc w:val="center"/>
        <w:rPr>
          <w:caps w:val="false"/>
          <w:smallCaps w:val="false"/>
        </w:rPr>
      </w:pPr>
      <w:r>
        <w:rPr>
          <w:caps w:val="false"/>
          <w:smallCaps w:val="false"/>
        </w:rPr>
        <w:t> </w:t>
      </w:r>
    </w:p>
    <w:tbl>
      <w:tblPr>
        <w:tblW w:w="8404" w:type="dxa"/>
        <w:jc w:val="left"/>
        <w:tblInd w:w="0" w:type="dxa"/>
        <w:tblLayout w:type="fixed"/>
        <w:tblCellMar>
          <w:top w:w="0" w:type="dxa"/>
          <w:left w:w="0" w:type="dxa"/>
          <w:bottom w:w="0" w:type="dxa"/>
          <w:right w:w="0" w:type="dxa"/>
        </w:tblCellMar>
      </w:tblPr>
      <w:tblGrid>
        <w:gridCol w:w="3545"/>
        <w:gridCol w:w="60"/>
        <w:gridCol w:w="172"/>
        <w:gridCol w:w="837"/>
        <w:gridCol w:w="116"/>
        <w:gridCol w:w="73"/>
        <w:gridCol w:w="172"/>
        <w:gridCol w:w="837"/>
        <w:gridCol w:w="95"/>
        <w:gridCol w:w="60"/>
        <w:gridCol w:w="174"/>
        <w:gridCol w:w="847"/>
        <w:gridCol w:w="118"/>
        <w:gridCol w:w="74"/>
        <w:gridCol w:w="174"/>
        <w:gridCol w:w="940"/>
        <w:gridCol w:w="110"/>
      </w:tblGrid>
      <w:tr>
        <w:trPr/>
        <w:tc>
          <w:tcPr>
            <w:tcW w:w="354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7" w:type="dxa"/>
            <w:gridSpan w:val="6"/>
            <w:tcBorders/>
            <w:vAlign w:val="center"/>
          </w:tcPr>
          <w:p>
            <w:pPr>
              <w:pStyle w:val="TableContents"/>
              <w:bidi w:val="0"/>
              <w:spacing w:before="0" w:after="283"/>
              <w:jc w:val="center"/>
              <w:rPr>
                <w:b/>
              </w:rPr>
            </w:pPr>
            <w:r>
              <w:rPr>
                <w:b/>
              </w:rPr>
              <w:t>Twelve Months Ended</w:t>
            </w:r>
          </w:p>
        </w:tc>
        <w:tc>
          <w:tcPr>
            <w:tcW w:w="110" w:type="dxa"/>
            <w:tcBorders/>
            <w:vAlign w:val="center"/>
          </w:tcPr>
          <w:p>
            <w:pPr>
              <w:pStyle w:val="TableContents"/>
              <w:bidi w:val="0"/>
              <w:spacing w:before="0" w:after="283"/>
              <w:ind w:left="0" w:right="0" w:hanging="180"/>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vAlign w:val="center"/>
          </w:tcPr>
          <w:p>
            <w:pPr>
              <w:pStyle w:val="TableContents"/>
              <w:bidi w:val="0"/>
              <w:spacing w:before="0" w:after="283"/>
              <w:jc w:val="center"/>
              <w:rPr>
                <w:b/>
              </w:rPr>
            </w:pPr>
            <w:r>
              <w:rPr>
                <w:b/>
              </w:rPr>
              <w:t>April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7" w:type="dxa"/>
            <w:gridSpan w:val="6"/>
            <w:tcBorders/>
            <w:vAlign w:val="center"/>
          </w:tcPr>
          <w:p>
            <w:pPr>
              <w:pStyle w:val="TableContents"/>
              <w:bidi w:val="0"/>
              <w:spacing w:before="0" w:after="283"/>
              <w:jc w:val="center"/>
              <w:rPr>
                <w:b/>
              </w:rPr>
            </w:pPr>
            <w:r>
              <w:rPr>
                <w:b/>
              </w:rPr>
              <w:t>April 30,</w:t>
            </w:r>
          </w:p>
        </w:tc>
        <w:tc>
          <w:tcPr>
            <w:tcW w:w="110" w:type="dxa"/>
            <w:tcBorders/>
            <w:vAlign w:val="center"/>
          </w:tcPr>
          <w:p>
            <w:pPr>
              <w:pStyle w:val="TableContents"/>
              <w:bidi w:val="0"/>
              <w:spacing w:before="0" w:after="283"/>
              <w:ind w:left="0" w:right="0" w:hanging="180"/>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110" w:type="dxa"/>
            <w:tcBorders/>
            <w:vAlign w:val="center"/>
          </w:tcPr>
          <w:p>
            <w:pPr>
              <w:pStyle w:val="TableContents"/>
              <w:bidi w:val="0"/>
              <w:spacing w:before="0" w:after="283"/>
              <w:ind w:left="0" w:right="0" w:hanging="180"/>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10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8"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ind w:left="0" w:right="0" w:hanging="180"/>
              <w:jc w:val="left"/>
              <w:rPr/>
            </w:pPr>
            <w:r>
              <w:rPr/>
              <w:t> </w:t>
            </w:r>
          </w:p>
        </w:tc>
      </w:tr>
      <w:tr>
        <w:trPr/>
        <w:tc>
          <w:tcPr>
            <w:tcW w:w="354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15,398</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19,986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847" w:type="dxa"/>
            <w:tcBorders/>
            <w:shd w:fill="CCEEFF" w:val="clear"/>
            <w:vAlign w:val="center"/>
          </w:tcPr>
          <w:p>
            <w:pPr>
              <w:pStyle w:val="TableContents"/>
              <w:bidi w:val="0"/>
              <w:spacing w:before="0" w:after="283"/>
              <w:jc w:val="right"/>
              <w:rPr/>
            </w:pPr>
            <w:r>
              <w:rPr/>
              <w:t>63,227</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0" w:type="dxa"/>
            <w:tcBorders/>
            <w:shd w:fill="CCEEFF" w:val="clear"/>
            <w:vAlign w:val="center"/>
          </w:tcPr>
          <w:p>
            <w:pPr>
              <w:pStyle w:val="TableContents"/>
              <w:bidi w:val="0"/>
              <w:spacing w:before="0" w:after="283"/>
              <w:jc w:val="right"/>
              <w:rPr/>
            </w:pPr>
            <w:r>
              <w:rPr/>
              <w:t>69,811</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4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pPr>
            <w:r>
              <w:rPr/>
              <w:t>15,246</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pPr>
            <w:r>
              <w:rPr/>
              <w:t>12,492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FFFFFF" w:val="clear"/>
            <w:tcMar>
              <w:bottom w:w="28" w:type="dxa"/>
            </w:tcMar>
            <w:vAlign w:val="center"/>
          </w:tcPr>
          <w:p>
            <w:pPr>
              <w:pStyle w:val="TableContents"/>
              <w:bidi w:val="0"/>
              <w:spacing w:before="0" w:after="283"/>
              <w:jc w:val="right"/>
              <w:rPr/>
            </w:pPr>
            <w:r>
              <w:rPr/>
              <w:t>44,831</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FFFFFF" w:val="clear"/>
            <w:tcMar>
              <w:bottom w:w="28" w:type="dxa"/>
            </w:tcMar>
            <w:vAlign w:val="center"/>
          </w:tcPr>
          <w:p>
            <w:pPr>
              <w:pStyle w:val="TableContents"/>
              <w:bidi w:val="0"/>
              <w:spacing w:before="0" w:after="283"/>
              <w:jc w:val="right"/>
              <w:rPr/>
            </w:pPr>
            <w:r>
              <w:rPr/>
              <w:t>39,714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545"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152</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7,494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18,396</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30,097</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45" w:type="dxa"/>
            <w:tcBorders/>
            <w:shd w:fill="FFFFFF" w:val="clear"/>
            <w:vAlign w:val="center"/>
          </w:tcPr>
          <w:p>
            <w:pPr>
              <w:pStyle w:val="TableContents"/>
              <w:bidi w:val="0"/>
              <w:spacing w:before="0" w:after="283"/>
              <w:jc w:val="left"/>
              <w:rPr/>
            </w:pPr>
            <w:r>
              <w:rPr/>
              <w:t>Selling and administrative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4,603</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2,675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15,403</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12,289</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54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pPr>
            <w:r>
              <w:rPr/>
              <w:t>1,898</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pPr>
            <w:r>
              <w:rPr/>
              <w:t>1,540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CCEEFF" w:val="clear"/>
            <w:tcMar>
              <w:bottom w:w="28" w:type="dxa"/>
            </w:tcMar>
            <w:vAlign w:val="center"/>
          </w:tcPr>
          <w:p>
            <w:pPr>
              <w:pStyle w:val="TableContents"/>
              <w:bidi w:val="0"/>
              <w:spacing w:before="0" w:after="283"/>
              <w:jc w:val="right"/>
              <w:rPr/>
            </w:pPr>
            <w:r>
              <w:rPr/>
              <w:t>5,994</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6,076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45" w:type="dxa"/>
            <w:tcBorders/>
            <w:shd w:fill="FFFFFF" w:val="clear"/>
            <w:vAlign w:val="center"/>
          </w:tcPr>
          <w:p>
            <w:pPr>
              <w:pStyle w:val="TableContents"/>
              <w:bidi w:val="0"/>
              <w:spacing w:before="0" w:after="283"/>
              <w:jc w:val="left"/>
              <w:rPr/>
            </w:pPr>
            <w:r>
              <w:rPr/>
              <w:t>Operating (loss) income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(6,349</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3,279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(3,001</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11,732</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545" w:type="dxa"/>
            <w:tcBorders/>
            <w:shd w:fill="CCEEFF" w:val="clear"/>
            <w:vAlign w:val="center"/>
          </w:tcPr>
          <w:p>
            <w:pPr>
              <w:pStyle w:val="TableContents"/>
              <w:bidi w:val="0"/>
              <w:spacing w:before="0" w:after="283"/>
              <w:jc w:val="left"/>
              <w:rPr/>
            </w:pPr>
            <w:r>
              <w:rPr/>
              <w:t>Interest and other, net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pPr>
            <w:r>
              <w:rPr/>
              <w:t>(326</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pPr>
            <w:r>
              <w:rPr/>
              <w:t>(72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CCEEFF" w:val="clear"/>
            <w:tcMar>
              <w:bottom w:w="28" w:type="dxa"/>
            </w:tcMar>
            <w:vAlign w:val="center"/>
          </w:tcPr>
          <w:p>
            <w:pPr>
              <w:pStyle w:val="TableContents"/>
              <w:bidi w:val="0"/>
              <w:spacing w:before="0" w:after="283"/>
              <w:jc w:val="right"/>
              <w:rPr/>
            </w:pPr>
            <w:r>
              <w:rPr/>
              <w:t>93</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412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45" w:type="dxa"/>
            <w:tcBorders/>
            <w:shd w:fill="FFFFFF" w:val="clear"/>
            <w:vAlign w:val="center"/>
          </w:tcPr>
          <w:p>
            <w:pPr>
              <w:pStyle w:val="TableContents"/>
              <w:bidi w:val="0"/>
              <w:spacing w:before="0" w:after="283"/>
              <w:jc w:val="left"/>
              <w:rPr/>
            </w:pPr>
            <w:r>
              <w:rPr/>
              <w:t>Income before Income Taxes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(6,675</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3,207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(2,908</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12,144</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545" w:type="dxa"/>
            <w:tcBorders/>
            <w:shd w:fill="CCEEFF" w:val="clear"/>
            <w:vAlign w:val="center"/>
          </w:tcPr>
          <w:p>
            <w:pPr>
              <w:pStyle w:val="TableContents"/>
              <w:bidi w:val="0"/>
              <w:spacing w:before="0" w:after="283"/>
              <w:jc w:val="left"/>
              <w:rPr/>
            </w:pPr>
            <w:r>
              <w:rPr/>
              <w:t>(Benefit) provision for Income Taxes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pPr>
            <w:r>
              <w:rPr/>
              <w:t>(1,770</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pPr>
            <w:r>
              <w:rPr/>
              <w:t>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single" w:sz="8" w:space="0" w:color="000000"/>
            </w:tcBorders>
            <w:shd w:fill="CCEEFF" w:val="clear"/>
            <w:tcMar>
              <w:bottom w:w="28" w:type="dxa"/>
            </w:tcMar>
            <w:vAlign w:val="center"/>
          </w:tcPr>
          <w:p>
            <w:pPr>
              <w:pStyle w:val="TableContents"/>
              <w:bidi w:val="0"/>
              <w:spacing w:before="0" w:after="283"/>
              <w:jc w:val="right"/>
              <w:rPr/>
            </w:pPr>
            <w:r>
              <w:rPr/>
              <w:t>(2,005</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(11,542</w:t>
            </w:r>
          </w:p>
        </w:tc>
        <w:tc>
          <w:tcPr>
            <w:tcW w:w="110" w:type="dxa"/>
            <w:tcBorders/>
            <w:shd w:fill="CCEEFF" w:val="clear"/>
            <w:vAlign w:val="center"/>
          </w:tcPr>
          <w:p>
            <w:pPr>
              <w:pStyle w:val="TableContents"/>
              <w:bidi w:val="0"/>
              <w:spacing w:before="0" w:after="283"/>
              <w:ind w:left="0" w:right="0" w:hanging="180"/>
              <w:jc w:val="left"/>
              <w:rPr/>
            </w:pPr>
            <w:r>
              <w:rPr/>
              <w:t>)</w:t>
            </w:r>
          </w:p>
        </w:tc>
      </w:tr>
      <w:tr>
        <w:trPr/>
        <w:tc>
          <w:tcPr>
            <w:tcW w:w="3545"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7" w:type="dxa"/>
            <w:tcBorders>
              <w:bottom w:val="double" w:sz="6" w:space="0" w:color="000000"/>
            </w:tcBorders>
            <w:shd w:fill="FFFFFF" w:val="clear"/>
            <w:tcMar>
              <w:bottom w:w="28" w:type="dxa"/>
            </w:tcMar>
            <w:vAlign w:val="center"/>
          </w:tcPr>
          <w:p>
            <w:pPr>
              <w:pStyle w:val="TableContents"/>
              <w:bidi w:val="0"/>
              <w:spacing w:before="0" w:after="283"/>
              <w:jc w:val="right"/>
              <w:rPr/>
            </w:pPr>
            <w:r>
              <w:rPr/>
              <w:t>(4,905</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7" w:type="dxa"/>
            <w:tcBorders>
              <w:bottom w:val="double" w:sz="6" w:space="0" w:color="000000"/>
            </w:tcBorders>
            <w:shd w:fill="FFFFFF" w:val="clear"/>
            <w:tcMar>
              <w:bottom w:w="28" w:type="dxa"/>
            </w:tcMar>
            <w:vAlign w:val="center"/>
          </w:tcPr>
          <w:p>
            <w:pPr>
              <w:pStyle w:val="TableContents"/>
              <w:bidi w:val="0"/>
              <w:spacing w:before="0" w:after="283"/>
              <w:jc w:val="right"/>
              <w:rPr/>
            </w:pPr>
            <w:r>
              <w:rPr/>
              <w:t>3,197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jc w:val="right"/>
              <w:rPr/>
            </w:pPr>
            <w:r>
              <w:rPr/>
              <w:t>(903</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23,686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45" w:type="dxa"/>
            <w:tcBorders/>
            <w:shd w:fill="FFFFFF" w:val="clear"/>
            <w:vAlign w:val="center"/>
          </w:tcPr>
          <w:p>
            <w:pPr>
              <w:pStyle w:val="TableContents"/>
              <w:bidi w:val="0"/>
              <w:spacing w:before="0" w:after="283"/>
              <w:jc w:val="left"/>
              <w:rPr/>
            </w:pPr>
            <w:r>
              <w:rPr/>
              <w:t>Net income per share: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545" w:type="dxa"/>
            <w:tcBorders/>
            <w:shd w:fill="CCEEFF" w:val="clear"/>
            <w:vAlign w:val="center"/>
          </w:tcPr>
          <w:p>
            <w:pPr>
              <w:pStyle w:val="TableContents"/>
              <w:bidi w:val="0"/>
              <w:spacing w:before="0" w:after="283"/>
              <w:jc w:val="left"/>
              <w:rPr/>
            </w:pPr>
            <w:r>
              <w:rPr/>
              <w:t>Basic income per share</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7" w:type="dxa"/>
            <w:tcBorders>
              <w:bottom w:val="double" w:sz="6" w:space="0" w:color="000000"/>
            </w:tcBorders>
            <w:shd w:fill="CCEEFF" w:val="clear"/>
            <w:tcMar>
              <w:bottom w:w="28" w:type="dxa"/>
            </w:tcMar>
            <w:vAlign w:val="center"/>
          </w:tcPr>
          <w:p>
            <w:pPr>
              <w:pStyle w:val="TableContents"/>
              <w:bidi w:val="0"/>
              <w:spacing w:before="0" w:after="283"/>
              <w:jc w:val="right"/>
              <w:rPr/>
            </w:pPr>
            <w:r>
              <w:rPr/>
              <w:t>(0.50</w:t>
            </w:r>
          </w:p>
        </w:tc>
        <w:tc>
          <w:tcPr>
            <w:tcW w:w="116" w:type="dxa"/>
            <w:tcBorders/>
            <w:shd w:fill="CCEEFF" w:val="clear"/>
            <w:vAlign w:val="center"/>
          </w:tcPr>
          <w:p>
            <w:pPr>
              <w:pStyle w:val="TableContents"/>
              <w:bidi w:val="0"/>
              <w:spacing w:before="0" w:after="283"/>
              <w:jc w:val="left"/>
              <w:rPr/>
            </w:pPr>
            <w:r>
              <w:rPr/>
              <w:t>)</w:t>
            </w:r>
          </w:p>
        </w:tc>
        <w:tc>
          <w:tcPr>
            <w:tcW w:w="73"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37" w:type="dxa"/>
            <w:tcBorders>
              <w:bottom w:val="double" w:sz="6" w:space="0" w:color="000000"/>
            </w:tcBorders>
            <w:shd w:fill="CCEEFF" w:val="clear"/>
            <w:tcMar>
              <w:bottom w:w="28" w:type="dxa"/>
            </w:tcMar>
            <w:vAlign w:val="center"/>
          </w:tcPr>
          <w:p>
            <w:pPr>
              <w:pStyle w:val="TableContents"/>
              <w:bidi w:val="0"/>
              <w:spacing w:before="0" w:after="283"/>
              <w:jc w:val="right"/>
              <w:rPr/>
            </w:pPr>
            <w:r>
              <w:rPr/>
              <w:t>0.33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47" w:type="dxa"/>
            <w:tcBorders>
              <w:bottom w:val="double" w:sz="6" w:space="0" w:color="000000"/>
            </w:tcBorders>
            <w:shd w:fill="CCEEFF" w:val="clear"/>
            <w:tcMar>
              <w:bottom w:w="28" w:type="dxa"/>
            </w:tcMar>
            <w:vAlign w:val="center"/>
          </w:tcPr>
          <w:p>
            <w:pPr>
              <w:pStyle w:val="TableContents"/>
              <w:bidi w:val="0"/>
              <w:spacing w:before="0" w:after="283"/>
              <w:jc w:val="right"/>
              <w:rPr/>
            </w:pPr>
            <w:r>
              <w:rPr/>
              <w:t>(0.09</w:t>
            </w:r>
          </w:p>
        </w:tc>
        <w:tc>
          <w:tcPr>
            <w:tcW w:w="118" w:type="dxa"/>
            <w:tcBorders/>
            <w:shd w:fill="CCEEFF" w:val="clear"/>
            <w:vAlign w:val="center"/>
          </w:tcPr>
          <w:p>
            <w:pPr>
              <w:pStyle w:val="TableContents"/>
              <w:bidi w:val="0"/>
              <w:spacing w:before="0" w:after="283"/>
              <w:jc w:val="left"/>
              <w:rPr/>
            </w:pPr>
            <w:r>
              <w:rPr/>
              <w:t>)</w:t>
            </w:r>
          </w:p>
        </w:tc>
        <w:tc>
          <w:tcPr>
            <w:tcW w:w="74"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2.46</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45" w:type="dxa"/>
            <w:tcBorders/>
            <w:shd w:fill="FFFFFF" w:val="clear"/>
            <w:vAlign w:val="center"/>
          </w:tcPr>
          <w:p>
            <w:pPr>
              <w:pStyle w:val="TableContents"/>
              <w:bidi w:val="0"/>
              <w:spacing w:before="0" w:after="283"/>
              <w:jc w:val="left"/>
              <w:rPr/>
            </w:pPr>
            <w:r>
              <w:rPr/>
              <w:t>Diluted income per share</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7" w:type="dxa"/>
            <w:tcBorders>
              <w:bottom w:val="double" w:sz="6" w:space="0" w:color="000000"/>
            </w:tcBorders>
            <w:shd w:fill="FFFFFF" w:val="clear"/>
            <w:tcMar>
              <w:bottom w:w="28" w:type="dxa"/>
            </w:tcMar>
            <w:vAlign w:val="center"/>
          </w:tcPr>
          <w:p>
            <w:pPr>
              <w:pStyle w:val="TableContents"/>
              <w:bidi w:val="0"/>
              <w:spacing w:before="0" w:after="283"/>
              <w:jc w:val="right"/>
              <w:rPr/>
            </w:pPr>
            <w:r>
              <w:rPr/>
              <w:t>(0.50</w:t>
            </w:r>
          </w:p>
        </w:tc>
        <w:tc>
          <w:tcPr>
            <w:tcW w:w="116" w:type="dxa"/>
            <w:tcBorders/>
            <w:shd w:fill="FFFFFF" w:val="clear"/>
            <w:vAlign w:val="center"/>
          </w:tcPr>
          <w:p>
            <w:pPr>
              <w:pStyle w:val="TableContents"/>
              <w:bidi w:val="0"/>
              <w:spacing w:before="0" w:after="283"/>
              <w:jc w:val="left"/>
              <w:rPr/>
            </w:pPr>
            <w:r>
              <w:rPr/>
              <w:t>)</w:t>
            </w:r>
          </w:p>
        </w:tc>
        <w:tc>
          <w:tcPr>
            <w:tcW w:w="73"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7" w:type="dxa"/>
            <w:tcBorders>
              <w:bottom w:val="double" w:sz="6" w:space="0" w:color="000000"/>
            </w:tcBorders>
            <w:shd w:fill="FFFFFF" w:val="clear"/>
            <w:tcMar>
              <w:bottom w:w="28" w:type="dxa"/>
            </w:tcMar>
            <w:vAlign w:val="center"/>
          </w:tcPr>
          <w:p>
            <w:pPr>
              <w:pStyle w:val="TableContents"/>
              <w:bidi w:val="0"/>
              <w:spacing w:before="0" w:after="283"/>
              <w:jc w:val="right"/>
              <w:rPr/>
            </w:pPr>
            <w:r>
              <w:rPr/>
              <w:t>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jc w:val="right"/>
              <w:rPr/>
            </w:pPr>
            <w:r>
              <w:rPr/>
              <w:t>(0.09</w:t>
            </w:r>
          </w:p>
        </w:tc>
        <w:tc>
          <w:tcPr>
            <w:tcW w:w="118" w:type="dxa"/>
            <w:tcBorders/>
            <w:shd w:fill="FFFFFF" w:val="clear"/>
            <w:vAlign w:val="center"/>
          </w:tcPr>
          <w:p>
            <w:pPr>
              <w:pStyle w:val="TableContents"/>
              <w:bidi w:val="0"/>
              <w:spacing w:before="0" w:after="283"/>
              <w:jc w:val="left"/>
              <w:rPr/>
            </w:pPr>
            <w:r>
              <w:rPr/>
              <w:t>)</w:t>
            </w:r>
          </w:p>
        </w:tc>
        <w:tc>
          <w:tcPr>
            <w:tcW w:w="74"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2.46</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5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right"/>
              <w:rPr/>
            </w:pPr>
            <w:r>
              <w:rPr/>
              <w:t> </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45" w:type="dxa"/>
            <w:tcBorders/>
            <w:shd w:fill="FFFFFF" w:val="clear"/>
            <w:vAlign w:val="center"/>
          </w:tcPr>
          <w:p>
            <w:pPr>
              <w:pStyle w:val="TableContents"/>
              <w:bidi w:val="0"/>
              <w:spacing w:before="0" w:after="283"/>
              <w:jc w:val="left"/>
              <w:rPr/>
            </w:pPr>
            <w:r>
              <w:rPr/>
              <w:t>Weighted average shares outstanding</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pPr>
            <w:r>
              <w:rPr/>
              <w:t> </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180"/>
              <w:jc w:val="left"/>
              <w:rPr/>
            </w:pPr>
            <w:r>
              <w:rPr/>
              <w:t> </w:t>
            </w:r>
          </w:p>
        </w:tc>
      </w:tr>
      <w:tr>
        <w:trPr/>
        <w:tc>
          <w:tcPr>
            <w:tcW w:w="354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double" w:sz="6" w:space="0" w:color="000000"/>
            </w:tcBorders>
            <w:shd w:fill="CCEEFF" w:val="clear"/>
            <w:tcMar>
              <w:bottom w:w="28" w:type="dxa"/>
            </w:tcMar>
            <w:vAlign w:val="center"/>
          </w:tcPr>
          <w:p>
            <w:pPr>
              <w:pStyle w:val="TableContents"/>
              <w:bidi w:val="0"/>
              <w:spacing w:before="0" w:after="283"/>
              <w:jc w:val="right"/>
              <w:rPr/>
            </w:pPr>
            <w:r>
              <w:rPr/>
              <w:t>9,854</w:t>
            </w:r>
          </w:p>
        </w:tc>
        <w:tc>
          <w:tcPr>
            <w:tcW w:w="11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double" w:sz="6" w:space="0" w:color="000000"/>
            </w:tcBorders>
            <w:shd w:fill="CCEEFF" w:val="clear"/>
            <w:tcMar>
              <w:bottom w:w="28" w:type="dxa"/>
            </w:tcMar>
            <w:vAlign w:val="center"/>
          </w:tcPr>
          <w:p>
            <w:pPr>
              <w:pStyle w:val="TableContents"/>
              <w:bidi w:val="0"/>
              <w:spacing w:before="0" w:after="283"/>
              <w:jc w:val="right"/>
              <w:rPr/>
            </w:pPr>
            <w:r>
              <w:rPr/>
              <w:t>9,692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47" w:type="dxa"/>
            <w:tcBorders>
              <w:bottom w:val="double" w:sz="6" w:space="0" w:color="000000"/>
            </w:tcBorders>
            <w:shd w:fill="CCEEFF" w:val="clear"/>
            <w:tcMar>
              <w:bottom w:w="28" w:type="dxa"/>
            </w:tcMar>
            <w:vAlign w:val="center"/>
          </w:tcPr>
          <w:p>
            <w:pPr>
              <w:pStyle w:val="TableContents"/>
              <w:bidi w:val="0"/>
              <w:spacing w:before="0" w:after="283"/>
              <w:jc w:val="right"/>
              <w:rPr/>
            </w:pPr>
            <w:r>
              <w:rPr/>
              <w:t>9,783</w:t>
            </w:r>
          </w:p>
        </w:tc>
        <w:tc>
          <w:tcPr>
            <w:tcW w:w="118"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double" w:sz="6" w:space="0" w:color="000000"/>
            </w:tcBorders>
            <w:shd w:fill="CCEEFF" w:val="clear"/>
            <w:tcMar>
              <w:bottom w:w="28" w:type="dxa"/>
            </w:tcMar>
            <w:vAlign w:val="center"/>
          </w:tcPr>
          <w:p>
            <w:pPr>
              <w:pStyle w:val="TableContents"/>
              <w:bidi w:val="0"/>
              <w:spacing w:before="0" w:after="283"/>
              <w:jc w:val="right"/>
              <w:rPr/>
            </w:pPr>
            <w:r>
              <w:rPr/>
              <w:t>9,612</w:t>
            </w:r>
          </w:p>
        </w:tc>
        <w:tc>
          <w:tcPr>
            <w:tcW w:w="110" w:type="dxa"/>
            <w:tcBorders/>
            <w:shd w:fill="CCEEFF" w:val="clear"/>
            <w:vAlign w:val="center"/>
          </w:tcPr>
          <w:p>
            <w:pPr>
              <w:pStyle w:val="TableContents"/>
              <w:bidi w:val="0"/>
              <w:spacing w:before="0" w:after="283"/>
              <w:ind w:left="0" w:right="0" w:hanging="180"/>
              <w:jc w:val="left"/>
              <w:rPr/>
            </w:pPr>
            <w:r>
              <w:rPr/>
              <w:t> </w:t>
            </w:r>
          </w:p>
        </w:tc>
      </w:tr>
      <w:tr>
        <w:trPr/>
        <w:tc>
          <w:tcPr>
            <w:tcW w:w="354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double" w:sz="6" w:space="0" w:color="000000"/>
            </w:tcBorders>
            <w:shd w:fill="FFFFFF" w:val="clear"/>
            <w:tcMar>
              <w:bottom w:w="28" w:type="dxa"/>
            </w:tcMar>
            <w:vAlign w:val="center"/>
          </w:tcPr>
          <w:p>
            <w:pPr>
              <w:pStyle w:val="TableContents"/>
              <w:bidi w:val="0"/>
              <w:spacing w:before="0" w:after="283"/>
              <w:jc w:val="right"/>
              <w:rPr/>
            </w:pPr>
            <w:r>
              <w:rPr/>
              <w:t>9,854</w:t>
            </w:r>
          </w:p>
        </w:tc>
        <w:tc>
          <w:tcPr>
            <w:tcW w:w="11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double" w:sz="6" w:space="0" w:color="000000"/>
            </w:tcBorders>
            <w:shd w:fill="FFFFFF" w:val="clear"/>
            <w:tcMar>
              <w:bottom w:w="28" w:type="dxa"/>
            </w:tcMar>
            <w:vAlign w:val="center"/>
          </w:tcPr>
          <w:p>
            <w:pPr>
              <w:pStyle w:val="TableContents"/>
              <w:bidi w:val="0"/>
              <w:spacing w:before="0" w:after="283"/>
              <w:jc w:val="right"/>
              <w:rPr/>
            </w:pPr>
            <w:r>
              <w:rPr/>
              <w:t>9,692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47" w:type="dxa"/>
            <w:tcBorders>
              <w:bottom w:val="double" w:sz="6" w:space="0" w:color="000000"/>
            </w:tcBorders>
            <w:shd w:fill="FFFFFF" w:val="clear"/>
            <w:tcMar>
              <w:bottom w:w="28" w:type="dxa"/>
            </w:tcMar>
            <w:vAlign w:val="center"/>
          </w:tcPr>
          <w:p>
            <w:pPr>
              <w:pStyle w:val="TableContents"/>
              <w:bidi w:val="0"/>
              <w:spacing w:before="0" w:after="283"/>
              <w:jc w:val="right"/>
              <w:rPr/>
            </w:pPr>
            <w:r>
              <w:rPr/>
              <w:t>9,783</w:t>
            </w:r>
          </w:p>
        </w:tc>
        <w:tc>
          <w:tcPr>
            <w:tcW w:w="118"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9,615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jc w:val="center"/>
        <w:rPr>
          <w:caps w:val="false"/>
          <w:smallCaps w:val="false"/>
        </w:rPr>
      </w:pPr>
      <w:r>
        <w:rPr>
          <w:caps w:val="false"/>
          <w:smallCaps w:val="false"/>
        </w:rPr>
        <w:t> </w:t>
      </w:r>
    </w:p>
    <w:tbl>
      <w:tblPr>
        <w:tblW w:w="7753" w:type="dxa"/>
        <w:jc w:val="left"/>
        <w:tblInd w:w="0" w:type="dxa"/>
        <w:tblLayout w:type="fixed"/>
        <w:tblCellMar>
          <w:top w:w="0" w:type="dxa"/>
          <w:left w:w="0" w:type="dxa"/>
          <w:bottom w:w="0" w:type="dxa"/>
          <w:right w:w="0" w:type="dxa"/>
        </w:tblCellMar>
      </w:tblPr>
      <w:tblGrid>
        <w:gridCol w:w="5315"/>
        <w:gridCol w:w="60"/>
        <w:gridCol w:w="204"/>
        <w:gridCol w:w="1000"/>
        <w:gridCol w:w="60"/>
        <w:gridCol w:w="60"/>
        <w:gridCol w:w="167"/>
        <w:gridCol w:w="812"/>
        <w:gridCol w:w="75"/>
      </w:tblGrid>
      <w:tr>
        <w:trPr/>
        <w:tc>
          <w:tcPr>
            <w:tcW w:w="531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April 30, </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April 30, </w:t>
              <w:br/>
              <w:t>2025</w:t>
            </w:r>
          </w:p>
        </w:tc>
        <w:tc>
          <w:tcPr>
            <w:tcW w:w="75" w:type="dxa"/>
            <w:tcBorders/>
            <w:vAlign w:val="center"/>
          </w:tcPr>
          <w:p>
            <w:pPr>
              <w:pStyle w:val="TableContents"/>
              <w:bidi w:val="0"/>
              <w:spacing w:before="0" w:after="283"/>
              <w:ind w:left="0" w:right="0" w:hanging="180"/>
              <w:jc w:val="left"/>
              <w:rPr/>
            </w:pPr>
            <w:r>
              <w:rPr/>
              <w:t> </w:t>
            </w:r>
          </w:p>
        </w:tc>
      </w:tr>
      <w:tr>
        <w:trPr/>
        <w:tc>
          <w:tcPr>
            <w:tcW w:w="5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center"/>
              <w:rPr>
                <w:b/>
              </w:rPr>
            </w:pPr>
            <w:r>
              <w:rPr>
                <w:b/>
              </w:rPr>
              <w:t>(unaudited)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315" w:type="dxa"/>
            <w:tcBorders/>
            <w:vAlign w:val="center"/>
          </w:tcPr>
          <w:p>
            <w:pPr>
              <w:pStyle w:val="TableContents"/>
              <w:bidi w:val="0"/>
              <w:spacing w:before="0" w:after="283"/>
              <w:jc w:val="left"/>
              <w:rPr>
                <w:b/>
                <w:u w:val="single"/>
              </w:rPr>
            </w:pPr>
            <w:r>
              <w:rPr>
                <w:b/>
                <w:u w:val="single"/>
              </w:rPr>
              <w:t>ASSETS</w:t>
            </w:r>
          </w:p>
        </w:tc>
        <w:tc>
          <w:tcPr>
            <w:tcW w:w="60" w:type="dxa"/>
            <w:tcBorders/>
            <w:vAlign w:val="center"/>
          </w:tcPr>
          <w:p>
            <w:pPr>
              <w:pStyle w:val="TableContents"/>
              <w:bidi w:val="0"/>
              <w:spacing w:before="0" w:after="283"/>
              <w:jc w:val="left"/>
              <w:rPr/>
            </w:pPr>
            <w:r>
              <w:rPr/>
              <w:t> </w:t>
            </w:r>
          </w:p>
        </w:tc>
        <w:tc>
          <w:tcPr>
            <w:tcW w:w="120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w:t>
            </w:r>
          </w:p>
        </w:tc>
        <w:tc>
          <w:tcPr>
            <w:tcW w:w="1000" w:type="dxa"/>
            <w:tcBorders/>
            <w:shd w:fill="CCEEFF" w:val="clear"/>
            <w:vAlign w:val="center"/>
          </w:tcPr>
          <w:p>
            <w:pPr>
              <w:pStyle w:val="TableContents"/>
              <w:bidi w:val="0"/>
              <w:spacing w:before="0" w:after="283"/>
              <w:jc w:val="right"/>
              <w:rPr/>
            </w:pPr>
            <w:r>
              <w:rPr/>
              <w:t>1,603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812" w:type="dxa"/>
            <w:tcBorders/>
            <w:shd w:fill="CCEEFF" w:val="clear"/>
            <w:vAlign w:val="center"/>
          </w:tcPr>
          <w:p>
            <w:pPr>
              <w:pStyle w:val="TableContents"/>
              <w:bidi w:val="0"/>
              <w:spacing w:before="0" w:after="283"/>
              <w:jc w:val="right"/>
              <w:rPr/>
            </w:pPr>
            <w:r>
              <w:rPr/>
              <w:t>4,720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4,740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5,914</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Contract assets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17,277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17,914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22,618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23,487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Other current assets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1,738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1,071</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Property, plant &amp; equipment, net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7,105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6,188</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12,801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12,374</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Deferred taxes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14,084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12,045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Right-of-use assets – operating leases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7,409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8,659</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FFFFFF" w:val="clear"/>
            <w:tcMar>
              <w:bottom w:w="28" w:type="dxa"/>
            </w:tcMar>
            <w:vAlign w:val="center"/>
          </w:tcPr>
          <w:p>
            <w:pPr>
              <w:pStyle w:val="TableContents"/>
              <w:bidi w:val="0"/>
              <w:spacing w:before="0" w:after="283"/>
              <w:jc w:val="right"/>
              <w:rPr/>
            </w:pPr>
            <w:r>
              <w:rPr/>
              <w:t>1,331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FFFFFF" w:val="clear"/>
            <w:tcMar>
              <w:bottom w:w="28" w:type="dxa"/>
            </w:tcMar>
            <w:vAlign w:val="center"/>
          </w:tcPr>
          <w:p>
            <w:pPr>
              <w:pStyle w:val="TableContents"/>
              <w:bidi w:val="0"/>
              <w:spacing w:before="0" w:after="283"/>
              <w:jc w:val="right"/>
              <w:rPr/>
            </w:pPr>
            <w:r>
              <w:rPr/>
              <w:t>1,365</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00" w:type="dxa"/>
            <w:tcBorders>
              <w:bottom w:val="double" w:sz="6" w:space="0" w:color="000000"/>
            </w:tcBorders>
            <w:shd w:fill="CCEEFF" w:val="clear"/>
            <w:tcMar>
              <w:bottom w:w="28" w:type="dxa"/>
            </w:tcMar>
            <w:vAlign w:val="center"/>
          </w:tcPr>
          <w:p>
            <w:pPr>
              <w:pStyle w:val="TableContents"/>
              <w:bidi w:val="0"/>
              <w:spacing w:before="0" w:after="283"/>
              <w:jc w:val="right"/>
              <w:rPr/>
            </w:pPr>
            <w:r>
              <w:rPr/>
              <w:t>90,706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12" w:type="dxa"/>
            <w:tcBorders>
              <w:bottom w:val="double" w:sz="6" w:space="0" w:color="000000"/>
            </w:tcBorders>
            <w:shd w:fill="CCEEFF" w:val="clear"/>
            <w:tcMar>
              <w:bottom w:w="28" w:type="dxa"/>
            </w:tcMar>
            <w:vAlign w:val="center"/>
          </w:tcPr>
          <w:p>
            <w:pPr>
              <w:pStyle w:val="TableContents"/>
              <w:bidi w:val="0"/>
              <w:spacing w:before="0" w:after="283"/>
              <w:jc w:val="right"/>
              <w:rPr/>
            </w:pPr>
            <w:r>
              <w:rPr/>
              <w:t>93,737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b/>
                <w:u w:val="single"/>
              </w:rPr>
            </w:pPr>
            <w:r>
              <w:rPr>
                <w:b/>
                <w:u w:val="single"/>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Lease liability - current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w:t>
            </w:r>
          </w:p>
        </w:tc>
        <w:tc>
          <w:tcPr>
            <w:tcW w:w="1000" w:type="dxa"/>
            <w:tcBorders/>
            <w:shd w:fill="FFFFFF" w:val="clear"/>
            <w:vAlign w:val="center"/>
          </w:tcPr>
          <w:p>
            <w:pPr>
              <w:pStyle w:val="TableContents"/>
              <w:bidi w:val="0"/>
              <w:spacing w:before="0" w:after="283"/>
              <w:jc w:val="right"/>
              <w:rPr/>
            </w:pPr>
            <w:r>
              <w:rPr/>
              <w:t>2,002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812" w:type="dxa"/>
            <w:tcBorders/>
            <w:shd w:fill="FFFFFF" w:val="clear"/>
            <w:vAlign w:val="center"/>
          </w:tcPr>
          <w:p>
            <w:pPr>
              <w:pStyle w:val="TableContents"/>
              <w:bidi w:val="0"/>
              <w:spacing w:before="0" w:after="283"/>
              <w:jc w:val="right"/>
              <w:rPr/>
            </w:pPr>
            <w:r>
              <w:rPr/>
              <w:t>2,027</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Contract liabilities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9,418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13,607</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Other current liabilities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9,564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7,821</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Other long-term obligations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1000" w:type="dxa"/>
            <w:tcBorders/>
            <w:shd w:fill="CCEEFF" w:val="clear"/>
            <w:vAlign w:val="center"/>
          </w:tcPr>
          <w:p>
            <w:pPr>
              <w:pStyle w:val="TableContents"/>
              <w:bidi w:val="0"/>
              <w:spacing w:before="0" w:after="283"/>
              <w:jc w:val="right"/>
              <w:rPr/>
            </w:pPr>
            <w:r>
              <w:rPr/>
              <w:t>7,671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2" w:type="dxa"/>
            <w:tcBorders/>
            <w:shd w:fill="CCEEFF" w:val="clear"/>
            <w:vAlign w:val="center"/>
          </w:tcPr>
          <w:p>
            <w:pPr>
              <w:pStyle w:val="TableContents"/>
              <w:bidi w:val="0"/>
              <w:spacing w:before="0" w:after="283"/>
              <w:jc w:val="right"/>
              <w:rPr/>
            </w:pPr>
            <w:r>
              <w:rPr/>
              <w:t>7,933</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Operating lease liability – non-current</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pPr>
            <w:r>
              <w:rPr/>
              <w:t>5,648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2" w:type="dxa"/>
            <w:tcBorders/>
            <w:shd w:fill="FFFFFF" w:val="clear"/>
            <w:vAlign w:val="center"/>
          </w:tcPr>
          <w:p>
            <w:pPr>
              <w:pStyle w:val="TableContents"/>
              <w:bidi w:val="0"/>
              <w:spacing w:before="0" w:after="283"/>
              <w:jc w:val="right"/>
              <w:rPr/>
            </w:pPr>
            <w:r>
              <w:rPr/>
              <w:t>6,729</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5315" w:type="dxa"/>
            <w:tcBorders/>
            <w:shd w:fill="CCEEFF" w:val="clear"/>
            <w:vAlign w:val="center"/>
          </w:tcPr>
          <w:p>
            <w:pPr>
              <w:pStyle w:val="TableContents"/>
              <w:bidi w:val="0"/>
              <w:spacing w:before="0" w:after="283"/>
              <w:jc w:val="left"/>
              <w:rPr/>
            </w:pPr>
            <w:r>
              <w:rPr/>
              <w:t>Stockholders’ equity</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00" w:type="dxa"/>
            <w:tcBorders>
              <w:bottom w:val="single" w:sz="8" w:space="0" w:color="000000"/>
            </w:tcBorders>
            <w:shd w:fill="CCEEFF" w:val="clear"/>
            <w:tcMar>
              <w:bottom w:w="28" w:type="dxa"/>
            </w:tcMar>
            <w:vAlign w:val="center"/>
          </w:tcPr>
          <w:p>
            <w:pPr>
              <w:pStyle w:val="TableContents"/>
              <w:bidi w:val="0"/>
              <w:spacing w:before="0" w:after="283"/>
              <w:jc w:val="right"/>
              <w:rPr/>
            </w:pPr>
            <w:r>
              <w:rPr/>
              <w:t>56,403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12" w:type="dxa"/>
            <w:tcBorders>
              <w:bottom w:val="single" w:sz="8" w:space="0" w:color="000000"/>
            </w:tcBorders>
            <w:shd w:fill="CCEEFF" w:val="clear"/>
            <w:tcMar>
              <w:bottom w:w="28" w:type="dxa"/>
            </w:tcMar>
            <w:vAlign w:val="center"/>
          </w:tcPr>
          <w:p>
            <w:pPr>
              <w:pStyle w:val="TableContents"/>
              <w:bidi w:val="0"/>
              <w:spacing w:before="0" w:after="283"/>
              <w:jc w:val="right"/>
              <w:rPr/>
            </w:pPr>
            <w:r>
              <w:rPr/>
              <w:t>55,620</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5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00" w:type="dxa"/>
            <w:tcBorders>
              <w:bottom w:val="double" w:sz="6" w:space="0" w:color="000000"/>
            </w:tcBorders>
            <w:shd w:fill="FFFFFF" w:val="clear"/>
            <w:tcMar>
              <w:bottom w:w="28" w:type="dxa"/>
            </w:tcMar>
            <w:vAlign w:val="center"/>
          </w:tcPr>
          <w:p>
            <w:pPr>
              <w:pStyle w:val="TableContents"/>
              <w:bidi w:val="0"/>
              <w:spacing w:before="0" w:after="283"/>
              <w:jc w:val="right"/>
              <w:rPr/>
            </w:pPr>
            <w:r>
              <w:rPr/>
              <w:t>90,706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12" w:type="dxa"/>
            <w:tcBorders>
              <w:bottom w:val="double" w:sz="6" w:space="0" w:color="000000"/>
            </w:tcBorders>
            <w:shd w:fill="FFFFFF" w:val="clear"/>
            <w:tcMar>
              <w:bottom w:w="28" w:type="dxa"/>
            </w:tcMar>
            <w:vAlign w:val="center"/>
          </w:tcPr>
          <w:p>
            <w:pPr>
              <w:pStyle w:val="TableContents"/>
              <w:bidi w:val="0"/>
              <w:spacing w:before="0" w:after="283"/>
              <w:jc w:val="right"/>
              <w:rPr/>
            </w:pPr>
            <w:r>
              <w:rPr/>
              <w:t>93,737</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Reported to Adjusted Numbers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1300" w:type="dxa"/>
        <w:jc w:val="left"/>
        <w:tblInd w:w="0" w:type="dxa"/>
        <w:tblLayout w:type="fixed"/>
        <w:tblCellMar>
          <w:top w:w="0" w:type="dxa"/>
          <w:left w:w="0" w:type="dxa"/>
          <w:bottom w:w="0" w:type="dxa"/>
          <w:right w:w="0" w:type="dxa"/>
        </w:tblCellMar>
      </w:tblPr>
      <w:tblGrid>
        <w:gridCol w:w="1355"/>
        <w:gridCol w:w="60"/>
        <w:gridCol w:w="167"/>
        <w:gridCol w:w="813"/>
        <w:gridCol w:w="215"/>
        <w:gridCol w:w="60"/>
        <w:gridCol w:w="269"/>
        <w:gridCol w:w="1311"/>
        <w:gridCol w:w="215"/>
        <w:gridCol w:w="60"/>
        <w:gridCol w:w="170"/>
        <w:gridCol w:w="810"/>
        <w:gridCol w:w="215"/>
        <w:gridCol w:w="60"/>
        <w:gridCol w:w="282"/>
        <w:gridCol w:w="1298"/>
        <w:gridCol w:w="215"/>
        <w:gridCol w:w="60"/>
        <w:gridCol w:w="350"/>
        <w:gridCol w:w="1230"/>
        <w:gridCol w:w="215"/>
        <w:gridCol w:w="60"/>
        <w:gridCol w:w="272"/>
        <w:gridCol w:w="1308"/>
        <w:gridCol w:w="230"/>
      </w:tblGrid>
      <w:tr>
        <w:trPr/>
        <w:tc>
          <w:tcPr>
            <w:tcW w:w="1355" w:type="dxa"/>
            <w:tcBorders/>
            <w:vAlign w:val="center"/>
          </w:tcPr>
          <w:p>
            <w:pPr>
              <w:pStyle w:val="TableContents"/>
              <w:bidi w:val="0"/>
              <w:spacing w:before="0" w:after="283"/>
              <w:ind w:left="0" w:right="0" w:hanging="180"/>
              <w:jc w:val="left"/>
              <w:rPr/>
            </w:pPr>
            <w:r>
              <w:rPr/>
              <w:t> </w:t>
            </w:r>
          </w:p>
        </w:tc>
        <w:tc>
          <w:tcPr>
            <w:tcW w:w="60" w:type="dxa"/>
            <w:tcBorders/>
            <w:vAlign w:val="center"/>
          </w:tcPr>
          <w:p>
            <w:pPr>
              <w:pStyle w:val="TableContents"/>
              <w:bidi w:val="0"/>
              <w:spacing w:before="0" w:after="283"/>
              <w:jc w:val="left"/>
              <w:rPr/>
            </w:pPr>
            <w:r>
              <w:rPr/>
              <w:t> </w:t>
            </w:r>
          </w:p>
        </w:tc>
        <w:tc>
          <w:tcPr>
            <w:tcW w:w="2835" w:type="dxa"/>
            <w:gridSpan w:val="6"/>
            <w:tcBorders/>
            <w:vAlign w:val="center"/>
          </w:tcPr>
          <w:p>
            <w:pPr>
              <w:pStyle w:val="TableContents"/>
              <w:bidi w:val="0"/>
              <w:spacing w:before="0" w:after="283"/>
              <w:jc w:val="center"/>
              <w:rPr>
                <w:b/>
              </w:rPr>
            </w:pPr>
            <w:r>
              <w:rPr>
                <w:b/>
              </w:rPr>
              <w:t>Three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5" w:type="dxa"/>
            <w:gridSpan w:val="6"/>
            <w:tcBorders/>
            <w:vAlign w:val="center"/>
          </w:tcPr>
          <w:p>
            <w:pPr>
              <w:pStyle w:val="TableContents"/>
              <w:bidi w:val="0"/>
              <w:spacing w:before="0" w:after="283"/>
              <w:jc w:val="center"/>
              <w:rPr>
                <w:b/>
              </w:rPr>
            </w:pPr>
            <w:r>
              <w:rPr>
                <w:b/>
              </w:rPr>
              <w:t>Twelve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Three Months</w:t>
              <w:br/>
              <w:t>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Twelve Months</w:t>
              <w:br/>
              <w:t>Ended</w:t>
            </w:r>
          </w:p>
        </w:tc>
        <w:tc>
          <w:tcPr>
            <w:tcW w:w="230" w:type="dxa"/>
            <w:tcBorders/>
            <w:vAlign w:val="center"/>
          </w:tcPr>
          <w:p>
            <w:pPr>
              <w:pStyle w:val="TableContents"/>
              <w:bidi w:val="0"/>
              <w:spacing w:before="0" w:after="283"/>
              <w:ind w:left="0" w:right="0" w:hanging="180"/>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5" w:type="dxa"/>
            <w:gridSpan w:val="6"/>
            <w:tcBorders/>
            <w:vAlign w:val="center"/>
          </w:tcPr>
          <w:p>
            <w:pPr>
              <w:pStyle w:val="TableContents"/>
              <w:bidi w:val="0"/>
              <w:spacing w:before="0" w:after="283"/>
              <w:jc w:val="center"/>
              <w:rPr>
                <w:b/>
              </w:rPr>
            </w:pPr>
            <w:r>
              <w:rPr>
                <w:b/>
              </w:rPr>
              <w:t>April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5" w:type="dxa"/>
            <w:gridSpan w:val="6"/>
            <w:tcBorders/>
            <w:vAlign w:val="center"/>
          </w:tcPr>
          <w:p>
            <w:pPr>
              <w:pStyle w:val="TableContents"/>
              <w:bidi w:val="0"/>
              <w:spacing w:before="0" w:after="283"/>
              <w:jc w:val="center"/>
              <w:rPr>
                <w:b/>
              </w:rPr>
            </w:pPr>
            <w:r>
              <w:rPr>
                <w:b/>
              </w:rPr>
              <w:t>April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April 30, 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April 30, 2026</w:t>
            </w:r>
          </w:p>
        </w:tc>
        <w:tc>
          <w:tcPr>
            <w:tcW w:w="230" w:type="dxa"/>
            <w:tcBorders/>
            <w:vAlign w:val="center"/>
          </w:tcPr>
          <w:p>
            <w:pPr>
              <w:pStyle w:val="TableContents"/>
              <w:bidi w:val="0"/>
              <w:spacing w:before="0" w:after="283"/>
              <w:ind w:left="0" w:right="0" w:hanging="180"/>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(unaudited)</w:t>
            </w:r>
          </w:p>
        </w:tc>
        <w:tc>
          <w:tcPr>
            <w:tcW w:w="230" w:type="dxa"/>
            <w:tcBorders/>
            <w:vAlign w:val="center"/>
          </w:tcPr>
          <w:p>
            <w:pPr>
              <w:pStyle w:val="TableContents"/>
              <w:bidi w:val="0"/>
              <w:spacing w:before="0" w:after="283"/>
              <w:ind w:left="0" w:right="0" w:hanging="180"/>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Adjusted for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Adjusted for</w:t>
            </w:r>
          </w:p>
        </w:tc>
        <w:tc>
          <w:tcPr>
            <w:tcW w:w="230" w:type="dxa"/>
            <w:tcBorders/>
            <w:vAlign w:val="center"/>
          </w:tcPr>
          <w:p>
            <w:pPr>
              <w:pStyle w:val="TableContents"/>
              <w:bidi w:val="0"/>
              <w:spacing w:before="0" w:after="283"/>
              <w:ind w:left="0" w:right="0" w:hanging="180"/>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Non-Recurring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Non-Recurring</w:t>
            </w:r>
          </w:p>
        </w:tc>
        <w:tc>
          <w:tcPr>
            <w:tcW w:w="230" w:type="dxa"/>
            <w:tcBorders/>
            <w:vAlign w:val="center"/>
          </w:tcPr>
          <w:p>
            <w:pPr>
              <w:pStyle w:val="TableContents"/>
              <w:bidi w:val="0"/>
              <w:spacing w:before="0" w:after="283"/>
              <w:ind w:left="0" w:right="0" w:hanging="180"/>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Adjusted for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Adjusted for</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&amp; Future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vAlign w:val="center"/>
          </w:tcPr>
          <w:p>
            <w:pPr>
              <w:pStyle w:val="TableContents"/>
              <w:bidi w:val="0"/>
              <w:spacing w:before="0" w:after="283"/>
              <w:jc w:val="center"/>
              <w:rPr>
                <w:b/>
              </w:rPr>
            </w:pPr>
            <w:r>
              <w:rPr>
                <w:b/>
              </w:rPr>
              <w:t>&amp; Future</w:t>
            </w:r>
          </w:p>
        </w:tc>
        <w:tc>
          <w:tcPr>
            <w:tcW w:w="230" w:type="dxa"/>
            <w:tcBorders/>
            <w:vAlign w:val="center"/>
          </w:tcPr>
          <w:p>
            <w:pPr>
              <w:pStyle w:val="TableContents"/>
              <w:bidi w:val="0"/>
              <w:spacing w:before="0" w:after="283"/>
              <w:ind w:left="0" w:right="0" w:hanging="180"/>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Reported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left"/>
              <w:rPr>
                <w:b/>
              </w:rPr>
            </w:pPr>
            <w:r>
              <w:rPr>
                <w:b/>
              </w:rPr>
              <w:t>Non-Recurring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Reported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left"/>
              <w:rPr>
                <w:b/>
              </w:rPr>
            </w:pPr>
            <w:r>
              <w:rPr>
                <w:b/>
              </w:rPr>
              <w:t>Non-Recurring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Investment</w:t>
            </w:r>
          </w:p>
        </w:tc>
        <w:tc>
          <w:tcPr>
            <w:tcW w:w="230" w:type="dxa"/>
            <w:tcBorders/>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w:t>
            </w:r>
          </w:p>
        </w:tc>
        <w:tc>
          <w:tcPr>
            <w:tcW w:w="813" w:type="dxa"/>
            <w:tcBorders/>
            <w:shd w:fill="CCEEFF" w:val="clear"/>
            <w:vAlign w:val="center"/>
          </w:tcPr>
          <w:p>
            <w:pPr>
              <w:pStyle w:val="TableContents"/>
              <w:bidi w:val="0"/>
              <w:spacing w:before="0" w:after="283"/>
              <w:jc w:val="right"/>
              <w:rPr/>
            </w:pPr>
            <w:r>
              <w:rPr/>
              <w:t>15,398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w:t>
            </w:r>
          </w:p>
        </w:tc>
        <w:tc>
          <w:tcPr>
            <w:tcW w:w="1311" w:type="dxa"/>
            <w:tcBorders/>
            <w:shd w:fill="CCEEFF" w:val="clear"/>
            <w:vAlign w:val="center"/>
          </w:tcPr>
          <w:p>
            <w:pPr>
              <w:pStyle w:val="TableContents"/>
              <w:bidi w:val="0"/>
              <w:spacing w:before="0" w:after="283"/>
              <w:jc w:val="right"/>
              <w:rPr/>
            </w:pPr>
            <w:r>
              <w:rPr/>
              <w:t>15,398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w:t>
            </w:r>
          </w:p>
        </w:tc>
        <w:tc>
          <w:tcPr>
            <w:tcW w:w="810" w:type="dxa"/>
            <w:tcBorders/>
            <w:shd w:fill="CCEEFF" w:val="clear"/>
            <w:vAlign w:val="center"/>
          </w:tcPr>
          <w:p>
            <w:pPr>
              <w:pStyle w:val="TableContents"/>
              <w:bidi w:val="0"/>
              <w:spacing w:before="0" w:after="283"/>
              <w:jc w:val="right"/>
              <w:rPr/>
            </w:pPr>
            <w:r>
              <w:rPr/>
              <w:t>63,227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63,227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w:t>
            </w:r>
          </w:p>
        </w:tc>
        <w:tc>
          <w:tcPr>
            <w:tcW w:w="1230" w:type="dxa"/>
            <w:tcBorders/>
            <w:shd w:fill="CCEEFF" w:val="clear"/>
            <w:vAlign w:val="center"/>
          </w:tcPr>
          <w:p>
            <w:pPr>
              <w:pStyle w:val="TableContents"/>
              <w:bidi w:val="0"/>
              <w:spacing w:before="0" w:after="283"/>
              <w:jc w:val="right"/>
              <w:rPr/>
            </w:pPr>
            <w:r>
              <w:rPr/>
              <w:t>15,398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w:t>
            </w:r>
          </w:p>
        </w:tc>
        <w:tc>
          <w:tcPr>
            <w:tcW w:w="1308" w:type="dxa"/>
            <w:tcBorders/>
            <w:shd w:fill="CCEEFF" w:val="clear"/>
            <w:vAlign w:val="center"/>
          </w:tcPr>
          <w:p>
            <w:pPr>
              <w:pStyle w:val="TableContents"/>
              <w:bidi w:val="0"/>
              <w:spacing w:before="0" w:after="283"/>
              <w:jc w:val="right"/>
              <w:rPr/>
            </w:pPr>
            <w:r>
              <w:rPr/>
              <w:t>63,227</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15,246</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pPr>
            <w:r>
              <w:rPr/>
              <w:t>10,873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pPr>
            <w:r>
              <w:rPr/>
              <w:t>44,831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FFFFFF" w:val="clear"/>
            <w:tcMar>
              <w:bottom w:w="28" w:type="dxa"/>
            </w:tcMar>
            <w:vAlign w:val="center"/>
          </w:tcPr>
          <w:p>
            <w:pPr>
              <w:pStyle w:val="TableContents"/>
              <w:bidi w:val="0"/>
              <w:spacing w:before="0" w:after="283"/>
              <w:jc w:val="right"/>
              <w:rPr/>
            </w:pPr>
            <w:r>
              <w:rPr/>
              <w:t>40,458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pPr>
            <w:r>
              <w:rPr/>
              <w:t>9,832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37,147</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pPr>
            <w:r>
              <w:rPr/>
              <w:t>Gross margin</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152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4,525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18,396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22,769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5,566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26,080</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pPr>
            <w:r>
              <w:rPr/>
              <w:t>Gross Margin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29.4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29.1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36.0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36.1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41.2</w:t>
            </w:r>
          </w:p>
        </w:tc>
        <w:tc>
          <w:tcPr>
            <w:tcW w:w="230" w:type="dxa"/>
            <w:tcBorders/>
            <w:shd w:fill="FFFFFF" w:val="clear"/>
            <w:vAlign w:val="center"/>
          </w:tcPr>
          <w:p>
            <w:pPr>
              <w:pStyle w:val="TableContents"/>
              <w:bidi w:val="0"/>
              <w:spacing w:before="0" w:after="283"/>
              <w:ind w:left="0" w:right="0" w:hanging="180"/>
              <w:jc w:val="left"/>
              <w:rPr/>
            </w:pPr>
            <w:r>
              <w:rPr/>
              <w:t>%</w:t>
            </w:r>
          </w:p>
        </w:tc>
      </w:tr>
      <w:tr>
        <w:trPr/>
        <w:tc>
          <w:tcPr>
            <w:tcW w:w="1355" w:type="dxa"/>
            <w:tcBorders/>
            <w:shd w:fill="CCEEFF" w:val="clear"/>
            <w:vAlign w:val="center"/>
          </w:tcPr>
          <w:p>
            <w:pPr>
              <w:pStyle w:val="TableContents"/>
              <w:bidi w:val="0"/>
              <w:spacing w:before="0" w:after="283"/>
              <w:jc w:val="left"/>
              <w:rPr/>
            </w:pPr>
            <w:r>
              <w:rPr/>
              <w:t>Selling and administrative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4,603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3,835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15,403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14,082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3,462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12,968</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3" w:type="dxa"/>
            <w:tcBorders>
              <w:bottom w:val="single" w:sz="8" w:space="0" w:color="000000"/>
            </w:tcBorders>
            <w:shd w:fill="FFFFFF" w:val="clear"/>
            <w:tcMar>
              <w:bottom w:w="28" w:type="dxa"/>
            </w:tcMar>
            <w:vAlign w:val="center"/>
          </w:tcPr>
          <w:p>
            <w:pPr>
              <w:pStyle w:val="TableContents"/>
              <w:bidi w:val="0"/>
              <w:spacing w:before="0" w:after="283"/>
              <w:jc w:val="right"/>
              <w:rPr/>
            </w:pPr>
            <w:r>
              <w:rPr/>
              <w:t>1,898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11" w:type="dxa"/>
            <w:tcBorders>
              <w:bottom w:val="single" w:sz="8" w:space="0" w:color="000000"/>
            </w:tcBorders>
            <w:shd w:fill="FFFFFF" w:val="clear"/>
            <w:tcMar>
              <w:bottom w:w="28" w:type="dxa"/>
            </w:tcMar>
            <w:vAlign w:val="center"/>
          </w:tcPr>
          <w:p>
            <w:pPr>
              <w:pStyle w:val="TableContents"/>
              <w:bidi w:val="0"/>
              <w:spacing w:before="0" w:after="283"/>
              <w:jc w:val="right"/>
              <w:rPr/>
            </w:pPr>
            <w:r>
              <w:rPr/>
              <w:t>1,898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10" w:type="dxa"/>
            <w:tcBorders>
              <w:bottom w:val="single" w:sz="8" w:space="0" w:color="000000"/>
            </w:tcBorders>
            <w:shd w:fill="FFFFFF" w:val="clear"/>
            <w:tcMar>
              <w:bottom w:w="28" w:type="dxa"/>
            </w:tcMar>
            <w:vAlign w:val="center"/>
          </w:tcPr>
          <w:p>
            <w:pPr>
              <w:pStyle w:val="TableContents"/>
              <w:bidi w:val="0"/>
              <w:spacing w:before="0" w:after="283"/>
              <w:jc w:val="right"/>
              <w:rPr/>
            </w:pPr>
            <w:r>
              <w:rPr/>
              <w:t>5,994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FFFFFF" w:val="clear"/>
            <w:tcMar>
              <w:bottom w:w="28" w:type="dxa"/>
            </w:tcMar>
            <w:vAlign w:val="center"/>
          </w:tcPr>
          <w:p>
            <w:pPr>
              <w:pStyle w:val="TableContents"/>
              <w:bidi w:val="0"/>
              <w:spacing w:before="0" w:after="283"/>
              <w:jc w:val="right"/>
              <w:rPr/>
            </w:pPr>
            <w:r>
              <w:rPr/>
              <w:t>5,994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tcMar>
              <w:bottom w:w="28" w:type="dxa"/>
            </w:tcMar>
            <w:vAlign w:val="center"/>
          </w:tcPr>
          <w:p>
            <w:pPr>
              <w:pStyle w:val="TableContents"/>
              <w:bidi w:val="0"/>
              <w:spacing w:before="0" w:after="283"/>
              <w:jc w:val="right"/>
              <w:rPr/>
            </w:pPr>
            <w:r>
              <w:rPr/>
              <w:t>1,898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8" w:type="dxa"/>
            <w:tcBorders>
              <w:bottom w:val="single" w:sz="8" w:space="0" w:color="000000"/>
            </w:tcBorders>
            <w:shd w:fill="FFFFFF" w:val="clear"/>
            <w:tcMar>
              <w:bottom w:w="28" w:type="dxa"/>
            </w:tcMar>
            <w:vAlign w:val="center"/>
          </w:tcPr>
          <w:p>
            <w:pPr>
              <w:pStyle w:val="TableContents"/>
              <w:bidi w:val="0"/>
              <w:spacing w:before="0" w:after="283"/>
              <w:jc w:val="right"/>
              <w:rPr/>
            </w:pPr>
            <w:r>
              <w:rPr/>
              <w:t>5,994</w:t>
            </w:r>
          </w:p>
        </w:tc>
        <w:tc>
          <w:tcPr>
            <w:tcW w:w="230" w:type="dxa"/>
            <w:tcBorders/>
            <w:shd w:fill="FFFFFF" w:val="clear"/>
            <w:vAlign w:val="center"/>
          </w:tcPr>
          <w:p>
            <w:pPr>
              <w:pStyle w:val="TableContents"/>
              <w:bidi w:val="0"/>
              <w:spacing w:before="0" w:after="283"/>
              <w:ind w:left="0" w:right="0" w:hanging="180"/>
              <w:jc w:val="left"/>
              <w:rPr/>
            </w:pPr>
            <w:r>
              <w:rPr/>
              <w:t> </w:t>
            </w:r>
          </w:p>
        </w:tc>
      </w:tr>
      <w:tr>
        <w:trPr/>
        <w:tc>
          <w:tcPr>
            <w:tcW w:w="1355" w:type="dxa"/>
            <w:tcBorders/>
            <w:shd w:fill="CCEEFF" w:val="clear"/>
            <w:vAlign w:val="center"/>
          </w:tcPr>
          <w:p>
            <w:pPr>
              <w:pStyle w:val="TableContents"/>
              <w:bidi w:val="0"/>
              <w:spacing w:before="0" w:after="283"/>
              <w:jc w:val="left"/>
              <w:rPr/>
            </w:pPr>
            <w:r>
              <w:rPr/>
              <w:t>Operating (loss) income</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13" w:type="dxa"/>
            <w:tcBorders/>
            <w:shd w:fill="CCEEFF" w:val="clear"/>
            <w:vAlign w:val="center"/>
          </w:tcPr>
          <w:p>
            <w:pPr>
              <w:pStyle w:val="TableContents"/>
              <w:bidi w:val="0"/>
              <w:spacing w:before="0" w:after="283"/>
              <w:jc w:val="right"/>
              <w:rPr/>
            </w:pPr>
            <w:r>
              <w:rPr/>
              <w:t>(6,349</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9" w:type="dxa"/>
            <w:tcBorders/>
            <w:shd w:fill="CCEEFF" w:val="clear"/>
            <w:vAlign w:val="center"/>
          </w:tcPr>
          <w:p>
            <w:pPr>
              <w:pStyle w:val="TableContents"/>
              <w:bidi w:val="0"/>
              <w:spacing w:before="0" w:after="283"/>
              <w:jc w:val="left"/>
              <w:rPr/>
            </w:pPr>
            <w:r>
              <w:rPr/>
              <w:t> </w:t>
            </w:r>
          </w:p>
        </w:tc>
        <w:tc>
          <w:tcPr>
            <w:tcW w:w="1311" w:type="dxa"/>
            <w:tcBorders/>
            <w:shd w:fill="CCEEFF" w:val="clear"/>
            <w:vAlign w:val="center"/>
          </w:tcPr>
          <w:p>
            <w:pPr>
              <w:pStyle w:val="TableContents"/>
              <w:bidi w:val="0"/>
              <w:spacing w:before="0" w:after="283"/>
              <w:jc w:val="right"/>
              <w:rPr/>
            </w:pPr>
            <w:r>
              <w:rPr/>
              <w:t>(1,208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jc w:val="left"/>
              <w:rPr/>
            </w:pPr>
            <w:r>
              <w:rPr/>
              <w:t> </w:t>
            </w:r>
          </w:p>
        </w:tc>
        <w:tc>
          <w:tcPr>
            <w:tcW w:w="810" w:type="dxa"/>
            <w:tcBorders/>
            <w:shd w:fill="CCEEFF" w:val="clear"/>
            <w:vAlign w:val="center"/>
          </w:tcPr>
          <w:p>
            <w:pPr>
              <w:pStyle w:val="TableContents"/>
              <w:bidi w:val="0"/>
              <w:spacing w:before="0" w:after="283"/>
              <w:jc w:val="right"/>
              <w:rPr/>
            </w:pPr>
            <w:r>
              <w:rPr/>
              <w:t>(3,001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2"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2,693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50" w:type="dxa"/>
            <w:tcBorders/>
            <w:shd w:fill="CCEEFF" w:val="clear"/>
            <w:vAlign w:val="center"/>
          </w:tcPr>
          <w:p>
            <w:pPr>
              <w:pStyle w:val="TableContents"/>
              <w:bidi w:val="0"/>
              <w:spacing w:before="0" w:after="283"/>
              <w:jc w:val="left"/>
              <w:rPr/>
            </w:pPr>
            <w:r>
              <w:rPr/>
              <w:t> </w:t>
            </w:r>
          </w:p>
        </w:tc>
        <w:tc>
          <w:tcPr>
            <w:tcW w:w="1230" w:type="dxa"/>
            <w:tcBorders/>
            <w:shd w:fill="CCEEFF" w:val="clear"/>
            <w:vAlign w:val="center"/>
          </w:tcPr>
          <w:p>
            <w:pPr>
              <w:pStyle w:val="TableContents"/>
              <w:bidi w:val="0"/>
              <w:spacing w:before="0" w:after="283"/>
              <w:jc w:val="right"/>
              <w:rPr/>
            </w:pPr>
            <w:r>
              <w:rPr/>
              <w:t>206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2" w:type="dxa"/>
            <w:tcBorders/>
            <w:shd w:fill="CCEEFF" w:val="clear"/>
            <w:vAlign w:val="center"/>
          </w:tcPr>
          <w:p>
            <w:pPr>
              <w:pStyle w:val="TableContents"/>
              <w:bidi w:val="0"/>
              <w:spacing w:before="0" w:after="283"/>
              <w:jc w:val="left"/>
              <w:rPr/>
            </w:pPr>
            <w:r>
              <w:rPr/>
              <w:t> </w:t>
            </w:r>
          </w:p>
        </w:tc>
        <w:tc>
          <w:tcPr>
            <w:tcW w:w="1308" w:type="dxa"/>
            <w:tcBorders/>
            <w:shd w:fill="CCEEFF" w:val="clear"/>
            <w:vAlign w:val="center"/>
          </w:tcPr>
          <w:p>
            <w:pPr>
              <w:pStyle w:val="TableContents"/>
              <w:bidi w:val="0"/>
              <w:spacing w:before="0" w:after="283"/>
              <w:jc w:val="right"/>
              <w:rPr/>
            </w:pPr>
            <w:r>
              <w:rPr/>
              <w:t>7,118</w:t>
            </w:r>
          </w:p>
        </w:tc>
        <w:tc>
          <w:tcPr>
            <w:tcW w:w="230" w:type="dxa"/>
            <w:tcBorders/>
            <w:shd w:fill="CCEEFF" w:val="clear"/>
            <w:vAlign w:val="center"/>
          </w:tcPr>
          <w:p>
            <w:pPr>
              <w:pStyle w:val="TableContents"/>
              <w:bidi w:val="0"/>
              <w:spacing w:before="0" w:after="283"/>
              <w:ind w:left="0" w:right="0" w:hanging="180"/>
              <w:jc w:val="left"/>
              <w:rPr/>
            </w:pPr>
            <w:r>
              <w:rPr/>
              <w:t> </w:t>
            </w:r>
          </w:p>
        </w:tc>
      </w:tr>
      <w:tr>
        <w:trPr/>
        <w:tc>
          <w:tcPr>
            <w:tcW w:w="1355" w:type="dxa"/>
            <w:tcBorders/>
            <w:shd w:fill="FFFFFF" w:val="clear"/>
            <w:vAlign w:val="center"/>
          </w:tcPr>
          <w:p>
            <w:pPr>
              <w:pStyle w:val="TableContents"/>
              <w:bidi w:val="0"/>
              <w:spacing w:before="0" w:after="283"/>
              <w:jc w:val="left"/>
              <w:rPr/>
            </w:pPr>
            <w:r>
              <w:rPr/>
              <w:t>Operating (loss) income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13" w:type="dxa"/>
            <w:tcBorders/>
            <w:shd w:fill="FFFFFF" w:val="clear"/>
            <w:vAlign w:val="center"/>
          </w:tcPr>
          <w:p>
            <w:pPr>
              <w:pStyle w:val="TableContents"/>
              <w:bidi w:val="0"/>
              <w:spacing w:before="0" w:after="283"/>
              <w:jc w:val="right"/>
              <w:rPr/>
            </w:pPr>
            <w:r>
              <w:rPr/>
              <w:t>-41.2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9" w:type="dxa"/>
            <w:tcBorders/>
            <w:shd w:fill="FFFFFF" w:val="clear"/>
            <w:vAlign w:val="center"/>
          </w:tcPr>
          <w:p>
            <w:pPr>
              <w:pStyle w:val="TableContents"/>
              <w:bidi w:val="0"/>
              <w:spacing w:before="0" w:after="283"/>
              <w:jc w:val="left"/>
              <w:rPr/>
            </w:pPr>
            <w:r>
              <w:rPr/>
              <w:t> </w:t>
            </w:r>
          </w:p>
        </w:tc>
        <w:tc>
          <w:tcPr>
            <w:tcW w:w="1311" w:type="dxa"/>
            <w:tcBorders/>
            <w:shd w:fill="FFFFFF" w:val="clear"/>
            <w:vAlign w:val="center"/>
          </w:tcPr>
          <w:p>
            <w:pPr>
              <w:pStyle w:val="TableContents"/>
              <w:bidi w:val="0"/>
              <w:spacing w:before="0" w:after="283"/>
              <w:jc w:val="right"/>
              <w:rPr/>
            </w:pPr>
            <w:r>
              <w:rPr/>
              <w:t>-7.8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pPr>
            <w:r>
              <w:rPr/>
              <w:t>-4.7</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2"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4.3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50" w:type="dxa"/>
            <w:tcBorders/>
            <w:shd w:fill="FFFFFF" w:val="clear"/>
            <w:vAlign w:val="center"/>
          </w:tcPr>
          <w:p>
            <w:pPr>
              <w:pStyle w:val="TableContents"/>
              <w:bidi w:val="0"/>
              <w:spacing w:before="0" w:after="283"/>
              <w:jc w:val="left"/>
              <w:rPr/>
            </w:pPr>
            <w:r>
              <w:rPr/>
              <w:t> </w:t>
            </w:r>
          </w:p>
        </w:tc>
        <w:tc>
          <w:tcPr>
            <w:tcW w:w="1230" w:type="dxa"/>
            <w:tcBorders/>
            <w:shd w:fill="FFFFFF" w:val="clear"/>
            <w:vAlign w:val="center"/>
          </w:tcPr>
          <w:p>
            <w:pPr>
              <w:pStyle w:val="TableContents"/>
              <w:bidi w:val="0"/>
              <w:spacing w:before="0" w:after="283"/>
              <w:jc w:val="right"/>
              <w:rPr/>
            </w:pPr>
            <w:r>
              <w:rPr/>
              <w:t>1.3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72" w:type="dxa"/>
            <w:tcBorders/>
            <w:shd w:fill="FFFFFF" w:val="clear"/>
            <w:vAlign w:val="center"/>
          </w:tcPr>
          <w:p>
            <w:pPr>
              <w:pStyle w:val="TableContents"/>
              <w:bidi w:val="0"/>
              <w:spacing w:before="0" w:after="283"/>
              <w:jc w:val="left"/>
              <w:rPr/>
            </w:pPr>
            <w:r>
              <w:rPr/>
              <w:t> </w:t>
            </w:r>
          </w:p>
        </w:tc>
        <w:tc>
          <w:tcPr>
            <w:tcW w:w="1308" w:type="dxa"/>
            <w:tcBorders/>
            <w:shd w:fill="FFFFFF" w:val="clear"/>
            <w:vAlign w:val="center"/>
          </w:tcPr>
          <w:p>
            <w:pPr>
              <w:pStyle w:val="TableContents"/>
              <w:bidi w:val="0"/>
              <w:spacing w:before="0" w:after="283"/>
              <w:jc w:val="right"/>
              <w:rPr/>
            </w:pPr>
            <w:r>
              <w:rPr/>
              <w:t>11.3</w:t>
            </w:r>
          </w:p>
        </w:tc>
        <w:tc>
          <w:tcPr>
            <w:tcW w:w="23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820" w:type="dxa"/>
        <w:jc w:val="left"/>
        <w:tblInd w:w="0" w:type="dxa"/>
        <w:tblLayout w:type="fixed"/>
        <w:tblCellMar>
          <w:top w:w="0" w:type="dxa"/>
          <w:left w:w="0" w:type="dxa"/>
          <w:bottom w:w="28" w:type="dxa"/>
          <w:right w:w="0" w:type="dxa"/>
        </w:tblCellMar>
      </w:tblPr>
      <w:tblGrid>
        <w:gridCol w:w="1355"/>
        <w:gridCol w:w="60"/>
        <w:gridCol w:w="214"/>
        <w:gridCol w:w="766"/>
        <w:gridCol w:w="215"/>
        <w:gridCol w:w="60"/>
        <w:gridCol w:w="261"/>
        <w:gridCol w:w="1184"/>
        <w:gridCol w:w="95"/>
        <w:gridCol w:w="60"/>
        <w:gridCol w:w="214"/>
        <w:gridCol w:w="601"/>
        <w:gridCol w:w="95"/>
        <w:gridCol w:w="60"/>
        <w:gridCol w:w="276"/>
        <w:gridCol w:w="1544"/>
        <w:gridCol w:w="95"/>
        <w:gridCol w:w="60"/>
        <w:gridCol w:w="312"/>
        <w:gridCol w:w="1328"/>
        <w:gridCol w:w="95"/>
        <w:gridCol w:w="60"/>
        <w:gridCol w:w="355"/>
        <w:gridCol w:w="1225"/>
        <w:gridCol w:w="230"/>
      </w:tblGrid>
      <w:tr>
        <w:trPr/>
        <w:tc>
          <w:tcPr>
            <w:tcW w:w="10820" w:type="dxa"/>
            <w:gridSpan w:val="25"/>
            <w:tcBorders>
              <w:bottom w:val="single" w:sz="8" w:space="0" w:color="000000"/>
            </w:tcBorders>
            <w:vAlign w:val="center"/>
          </w:tcPr>
          <w:p>
            <w:pPr>
              <w:pStyle w:val="TableContents"/>
              <w:bidi w:val="0"/>
              <w:spacing w:before="0" w:after="283"/>
              <w:ind w:left="0" w:right="0" w:hanging="180"/>
              <w:jc w:val="left"/>
              <w:rPr>
                <w:b/>
              </w:rPr>
            </w:pPr>
            <w:r>
              <w:rPr>
                <w:b/>
              </w:rPr>
              <w:t>Reconciliation of Reported to Adjusted for Non-Recurring (Non-GAAP) for the Three Months Ended April 30, 2026 (unaudited)</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tcMar>
              <w:bottom w:w="0" w:type="dxa"/>
            </w:tcMar>
            <w:vAlign w:val="center"/>
          </w:tcPr>
          <w:p>
            <w:pPr>
              <w:pStyle w:val="TableContents"/>
              <w:bidi w:val="0"/>
              <w:spacing w:before="0" w:after="283"/>
              <w:jc w:val="center"/>
              <w:rPr>
                <w:b/>
              </w:rPr>
            </w:pPr>
            <w:r>
              <w:rPr>
                <w:b/>
              </w:rPr>
              <w:t>Business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center"/>
              <w:rPr>
                <w:b/>
              </w:rPr>
            </w:pPr>
            <w:r>
              <w:rPr>
                <w:b/>
              </w:rPr>
              <w:t>One Time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tcMar>
              <w:bottom w:w="0" w:type="dxa"/>
            </w:tcMar>
            <w:vAlign w:val="center"/>
          </w:tcPr>
          <w:p>
            <w:pPr>
              <w:pStyle w:val="TableContents"/>
              <w:bidi w:val="0"/>
              <w:spacing w:before="0" w:after="283"/>
              <w:jc w:val="center"/>
              <w:rPr>
                <w:b/>
              </w:rPr>
            </w:pPr>
            <w:r>
              <w:rPr>
                <w:b/>
              </w:rPr>
              <w:t>Transformational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tcMar>
              <w:bottom w:w="0" w:type="dxa"/>
            </w:tcMar>
            <w:vAlign w:val="center"/>
          </w:tcPr>
          <w:p>
            <w:pPr>
              <w:pStyle w:val="TableContents"/>
              <w:bidi w:val="0"/>
              <w:spacing w:before="0" w:after="283"/>
              <w:jc w:val="center"/>
              <w:rPr>
                <w:b/>
              </w:rPr>
            </w:pPr>
            <w:r>
              <w:rPr>
                <w:b/>
              </w:rPr>
              <w:t>Improvement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center"/>
              <w:rPr>
                <w:b/>
              </w:rPr>
            </w:pPr>
            <w:r>
              <w:rPr>
                <w:b/>
              </w:rPr>
              <w:t>Restructuring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center"/>
              <w:rPr>
                <w:b/>
              </w:rPr>
            </w:pPr>
            <w:r>
              <w:rPr>
                <w:b/>
              </w:rPr>
              <w:t>Change in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tcMar>
              <w:bottom w:w="0" w:type="dxa"/>
            </w:tcMar>
            <w:vAlign w:val="center"/>
          </w:tcPr>
          <w:p>
            <w:pPr>
              <w:pStyle w:val="TableContents"/>
              <w:bidi w:val="0"/>
              <w:spacing w:before="0" w:after="283"/>
              <w:jc w:val="center"/>
              <w:rPr>
                <w:b/>
              </w:rPr>
            </w:pPr>
            <w:r>
              <w:rPr>
                <w:b/>
              </w:rPr>
              <w:t>Employment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tcMar>
              <w:bottom w:w="0" w:type="dxa"/>
            </w:tcMar>
            <w:vAlign w:val="center"/>
          </w:tcPr>
          <w:p>
            <w:pPr>
              <w:pStyle w:val="TableContents"/>
              <w:bidi w:val="0"/>
              <w:spacing w:before="0" w:after="283"/>
              <w:jc w:val="center"/>
              <w:rPr>
                <w:b/>
              </w:rPr>
            </w:pPr>
            <w:r>
              <w:rPr>
                <w:b/>
              </w:rPr>
              <w:t>Transformation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center"/>
              <w:rPr>
                <w:b/>
              </w:rPr>
            </w:pPr>
            <w:r>
              <w:rPr>
                <w:b/>
              </w:rPr>
              <w:t>Adjusted for</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283"/>
              <w:jc w:val="center"/>
              <w:rPr>
                <w:b/>
              </w:rPr>
            </w:pPr>
            <w:r>
              <w:rPr>
                <w:b/>
              </w:rPr>
              <w:t>Reported</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Cost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PTO Policy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bottom w:val="single" w:sz="8" w:space="0" w:color="000000"/>
            </w:tcBorders>
            <w:vAlign w:val="center"/>
          </w:tcPr>
          <w:p>
            <w:pPr>
              <w:pStyle w:val="TableContents"/>
              <w:bidi w:val="0"/>
              <w:spacing w:before="0" w:after="283"/>
              <w:jc w:val="center"/>
              <w:rPr>
                <w:b/>
              </w:rPr>
            </w:pPr>
            <w:r>
              <w:rPr>
                <w:b/>
              </w:rPr>
              <w:t>Costs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283"/>
              <w:jc w:val="center"/>
              <w:rPr>
                <w:b/>
              </w:rPr>
            </w:pPr>
            <w:r>
              <w:rPr>
                <w:b/>
              </w:rPr>
              <w:t>Costs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bottom w:val="single" w:sz="8" w:space="0" w:color="000000"/>
            </w:tcBorders>
            <w:vAlign w:val="center"/>
          </w:tcPr>
          <w:p>
            <w:pPr>
              <w:pStyle w:val="TableContents"/>
              <w:bidi w:val="0"/>
              <w:spacing w:before="0" w:after="283"/>
              <w:jc w:val="center"/>
              <w:rPr>
                <w:b/>
              </w:rPr>
            </w:pPr>
            <w:r>
              <w:rPr>
                <w:b/>
              </w:rPr>
              <w:t>Non-Recurring</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766" w:type="dxa"/>
            <w:tcBorders/>
            <w:shd w:fill="CCEEFF" w:val="clear"/>
            <w:tcMar>
              <w:bottom w:w="0" w:type="dxa"/>
            </w:tcMar>
            <w:vAlign w:val="center"/>
          </w:tcPr>
          <w:p>
            <w:pPr>
              <w:pStyle w:val="TableContents"/>
              <w:bidi w:val="0"/>
              <w:spacing w:before="0" w:after="283"/>
              <w:jc w:val="right"/>
              <w:rPr/>
            </w:pPr>
            <w:r>
              <w:rPr/>
              <w:t>15,398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w:t>
            </w:r>
          </w:p>
        </w:tc>
        <w:tc>
          <w:tcPr>
            <w:tcW w:w="118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w:t>
            </w:r>
          </w:p>
        </w:tc>
        <w:tc>
          <w:tcPr>
            <w:tcW w:w="60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w:t>
            </w:r>
          </w:p>
        </w:tc>
        <w:tc>
          <w:tcPr>
            <w:tcW w:w="15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w:t>
            </w:r>
          </w:p>
        </w:tc>
        <w:tc>
          <w:tcPr>
            <w:tcW w:w="132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 w:type="dxa"/>
            <w:tcBorders/>
            <w:shd w:fill="CCEEFF" w:val="clear"/>
            <w:tcMar>
              <w:bottom w:w="0" w:type="dxa"/>
            </w:tcMar>
            <w:vAlign w:val="center"/>
          </w:tcPr>
          <w:p>
            <w:pPr>
              <w:pStyle w:val="TableContents"/>
              <w:bidi w:val="0"/>
              <w:spacing w:before="0" w:after="283"/>
              <w:jc w:val="left"/>
              <w:rPr/>
            </w:pPr>
            <w:r>
              <w:rPr/>
              <w:t>$</w:t>
            </w:r>
          </w:p>
        </w:tc>
        <w:tc>
          <w:tcPr>
            <w:tcW w:w="1225" w:type="dxa"/>
            <w:tcBorders/>
            <w:shd w:fill="CCEEFF" w:val="clear"/>
            <w:tcMar>
              <w:bottom w:w="0" w:type="dxa"/>
            </w:tcMar>
            <w:vAlign w:val="center"/>
          </w:tcPr>
          <w:p>
            <w:pPr>
              <w:pStyle w:val="TableContents"/>
              <w:bidi w:val="0"/>
              <w:spacing w:before="0" w:after="283"/>
              <w:jc w:val="right"/>
              <w:rPr/>
            </w:pPr>
            <w:r>
              <w:rPr/>
              <w:t>15,398</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Cost of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bottom w:val="single" w:sz="8" w:space="0" w:color="000000"/>
            </w:tcBorders>
            <w:shd w:fill="FFFFFF" w:val="clear"/>
            <w:vAlign w:val="center"/>
          </w:tcPr>
          <w:p>
            <w:pPr>
              <w:pStyle w:val="TableContents"/>
              <w:bidi w:val="0"/>
              <w:spacing w:before="0" w:after="283"/>
              <w:jc w:val="left"/>
              <w:rPr/>
            </w:pPr>
            <w:r>
              <w:rPr/>
              <w:t> </w:t>
            </w:r>
          </w:p>
        </w:tc>
        <w:tc>
          <w:tcPr>
            <w:tcW w:w="766" w:type="dxa"/>
            <w:tcBorders>
              <w:bottom w:val="single" w:sz="8" w:space="0" w:color="000000"/>
            </w:tcBorders>
            <w:shd w:fill="FFFFFF" w:val="clear"/>
            <w:vAlign w:val="center"/>
          </w:tcPr>
          <w:p>
            <w:pPr>
              <w:pStyle w:val="TableContents"/>
              <w:bidi w:val="0"/>
              <w:spacing w:before="0" w:after="283"/>
              <w:jc w:val="right"/>
              <w:rPr/>
            </w:pPr>
            <w:r>
              <w:rPr/>
              <w:t>15,246</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bottom w:val="single" w:sz="8" w:space="0" w:color="000000"/>
            </w:tcBorders>
            <w:shd w:fill="FFFFFF" w:val="clear"/>
            <w:vAlign w:val="center"/>
          </w:tcPr>
          <w:p>
            <w:pPr>
              <w:pStyle w:val="TableContents"/>
              <w:bidi w:val="0"/>
              <w:spacing w:before="0" w:after="283"/>
              <w:jc w:val="left"/>
              <w:rPr/>
            </w:pPr>
            <w:r>
              <w:rPr/>
              <w:t> </w:t>
            </w:r>
          </w:p>
        </w:tc>
        <w:tc>
          <w:tcPr>
            <w:tcW w:w="1184" w:type="dxa"/>
            <w:tcBorders>
              <w:bottom w:val="single" w:sz="8" w:space="0" w:color="000000"/>
            </w:tcBorders>
            <w:shd w:fill="FFFFFF" w:val="clear"/>
            <w:vAlign w:val="center"/>
          </w:tcPr>
          <w:p>
            <w:pPr>
              <w:pStyle w:val="TableContents"/>
              <w:bidi w:val="0"/>
              <w:spacing w:before="0" w:after="283"/>
              <w:jc w:val="right"/>
              <w:rPr/>
            </w:pPr>
            <w:r>
              <w:rPr/>
              <w:t>(4,373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bottom w:val="single" w:sz="8" w:space="0" w:color="000000"/>
            </w:tcBorders>
            <w:shd w:fill="FFFFFF" w:val="clear"/>
            <w:vAlign w:val="center"/>
          </w:tcPr>
          <w:p>
            <w:pPr>
              <w:pStyle w:val="TableContents"/>
              <w:bidi w:val="0"/>
              <w:spacing w:before="0" w:after="283"/>
              <w:jc w:val="left"/>
              <w:rPr/>
            </w:pPr>
            <w:r>
              <w:rPr/>
              <w:t> </w:t>
            </w:r>
          </w:p>
        </w:tc>
        <w:tc>
          <w:tcPr>
            <w:tcW w:w="601"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bottom w:val="single" w:sz="8" w:space="0" w:color="000000"/>
            </w:tcBorders>
            <w:shd w:fill="FFFFFF" w:val="clear"/>
            <w:vAlign w:val="center"/>
          </w:tcPr>
          <w:p>
            <w:pPr>
              <w:pStyle w:val="TableContents"/>
              <w:bidi w:val="0"/>
              <w:spacing w:before="0" w:after="283"/>
              <w:jc w:val="left"/>
              <w:rPr/>
            </w:pPr>
            <w:r>
              <w:rPr/>
              <w:t> </w:t>
            </w:r>
          </w:p>
        </w:tc>
        <w:tc>
          <w:tcPr>
            <w:tcW w:w="1544"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bottom w:val="single" w:sz="8" w:space="0" w:color="000000"/>
            </w:tcBorders>
            <w:shd w:fill="FFFFFF" w:val="clear"/>
            <w:vAlign w:val="center"/>
          </w:tcPr>
          <w:p>
            <w:pPr>
              <w:pStyle w:val="TableContents"/>
              <w:bidi w:val="0"/>
              <w:spacing w:before="0" w:after="283"/>
              <w:jc w:val="left"/>
              <w:rPr/>
            </w:pPr>
            <w:r>
              <w:rPr/>
              <w:t> </w:t>
            </w:r>
          </w:p>
        </w:tc>
        <w:tc>
          <w:tcPr>
            <w:tcW w:w="1328"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 w:type="dxa"/>
            <w:tcBorders>
              <w:bottom w:val="single" w:sz="8" w:space="0" w:color="000000"/>
            </w:tcBorders>
            <w:shd w:fill="FFFFFF" w:val="clear"/>
            <w:vAlign w:val="center"/>
          </w:tcPr>
          <w:p>
            <w:pPr>
              <w:pStyle w:val="TableContents"/>
              <w:bidi w:val="0"/>
              <w:spacing w:before="0" w:after="283"/>
              <w:jc w:val="left"/>
              <w:rPr/>
            </w:pPr>
            <w:r>
              <w:rPr/>
              <w:t> </w:t>
            </w:r>
          </w:p>
        </w:tc>
        <w:tc>
          <w:tcPr>
            <w:tcW w:w="1225" w:type="dxa"/>
            <w:tcBorders>
              <w:bottom w:val="single" w:sz="8" w:space="0" w:color="000000"/>
            </w:tcBorders>
            <w:shd w:fill="FFFFFF" w:val="clear"/>
            <w:vAlign w:val="center"/>
          </w:tcPr>
          <w:p>
            <w:pPr>
              <w:pStyle w:val="TableContents"/>
              <w:bidi w:val="0"/>
              <w:spacing w:before="0" w:after="283"/>
              <w:jc w:val="right"/>
              <w:rPr/>
            </w:pPr>
            <w:r>
              <w:rPr/>
              <w:t>10,873</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Gross margin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right"/>
              <w:rPr/>
            </w:pPr>
            <w:r>
              <w:rPr/>
              <w:t>152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4,373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4,525</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Gross Margin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766" w:type="dxa"/>
            <w:tcBorders/>
            <w:shd w:fill="FFFFFF" w:val="clear"/>
            <w:tcMar>
              <w:bottom w:w="0" w:type="dxa"/>
            </w:tcMar>
            <w:vAlign w:val="center"/>
          </w:tcPr>
          <w:p>
            <w:pPr>
              <w:pStyle w:val="TableContents"/>
              <w:bidi w:val="0"/>
              <w:spacing w:before="0" w:after="283"/>
              <w:jc w:val="right"/>
              <w:rPr/>
            </w:pPr>
            <w:r>
              <w:rPr/>
              <w:t>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54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29.4</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55" w:type="dxa"/>
            <w:tcBorders/>
            <w:shd w:fill="CCEEFF" w:val="clear"/>
            <w:tcMar>
              <w:bottom w:w="0" w:type="dxa"/>
            </w:tcMar>
            <w:vAlign w:val="center"/>
          </w:tcPr>
          <w:p>
            <w:pPr>
              <w:pStyle w:val="TableContents"/>
              <w:bidi w:val="0"/>
              <w:spacing w:before="0" w:after="283"/>
              <w:jc w:val="left"/>
              <w:rPr/>
            </w:pPr>
            <w:r>
              <w:rPr/>
              <w:t>Selling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right"/>
              <w:rPr/>
            </w:pPr>
            <w:r>
              <w:rPr/>
              <w:t>4,603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(446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(164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right"/>
              <w:rPr/>
            </w:pPr>
            <w:r>
              <w:rPr/>
              <w:t>(89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(69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3,835</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bottom w:val="single" w:sz="8" w:space="0" w:color="000000"/>
            </w:tcBorders>
            <w:shd w:fill="FFFFFF" w:val="clear"/>
            <w:vAlign w:val="center"/>
          </w:tcPr>
          <w:p>
            <w:pPr>
              <w:pStyle w:val="TableContents"/>
              <w:bidi w:val="0"/>
              <w:spacing w:before="0" w:after="283"/>
              <w:jc w:val="left"/>
              <w:rPr/>
            </w:pPr>
            <w:r>
              <w:rPr/>
              <w:t> </w:t>
            </w:r>
          </w:p>
        </w:tc>
        <w:tc>
          <w:tcPr>
            <w:tcW w:w="766" w:type="dxa"/>
            <w:tcBorders>
              <w:bottom w:val="single" w:sz="8" w:space="0" w:color="000000"/>
            </w:tcBorders>
            <w:shd w:fill="FFFFFF" w:val="clear"/>
            <w:vAlign w:val="center"/>
          </w:tcPr>
          <w:p>
            <w:pPr>
              <w:pStyle w:val="TableContents"/>
              <w:bidi w:val="0"/>
              <w:spacing w:before="0" w:after="283"/>
              <w:jc w:val="right"/>
              <w:rPr/>
            </w:pPr>
            <w:r>
              <w:rPr/>
              <w:t>1,898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bottom w:val="single" w:sz="8" w:space="0" w:color="000000"/>
            </w:tcBorders>
            <w:shd w:fill="FFFFFF" w:val="clear"/>
            <w:vAlign w:val="center"/>
          </w:tcPr>
          <w:p>
            <w:pPr>
              <w:pStyle w:val="TableContents"/>
              <w:bidi w:val="0"/>
              <w:spacing w:before="0" w:after="283"/>
              <w:jc w:val="left"/>
              <w:rPr/>
            </w:pPr>
            <w:r>
              <w:rPr/>
              <w:t> </w:t>
            </w:r>
          </w:p>
        </w:tc>
        <w:tc>
          <w:tcPr>
            <w:tcW w:w="1184"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bottom w:val="single" w:sz="8" w:space="0" w:color="000000"/>
            </w:tcBorders>
            <w:shd w:fill="FFFFFF" w:val="clear"/>
            <w:vAlign w:val="center"/>
          </w:tcPr>
          <w:p>
            <w:pPr>
              <w:pStyle w:val="TableContents"/>
              <w:bidi w:val="0"/>
              <w:spacing w:before="0" w:after="283"/>
              <w:jc w:val="left"/>
              <w:rPr/>
            </w:pPr>
            <w:r>
              <w:rPr/>
              <w:t> </w:t>
            </w:r>
          </w:p>
        </w:tc>
        <w:tc>
          <w:tcPr>
            <w:tcW w:w="601"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bottom w:val="single" w:sz="8" w:space="0" w:color="000000"/>
            </w:tcBorders>
            <w:shd w:fill="FFFFFF" w:val="clear"/>
            <w:vAlign w:val="center"/>
          </w:tcPr>
          <w:p>
            <w:pPr>
              <w:pStyle w:val="TableContents"/>
              <w:bidi w:val="0"/>
              <w:spacing w:before="0" w:after="283"/>
              <w:jc w:val="left"/>
              <w:rPr/>
            </w:pPr>
            <w:r>
              <w:rPr/>
              <w:t> </w:t>
            </w:r>
          </w:p>
        </w:tc>
        <w:tc>
          <w:tcPr>
            <w:tcW w:w="1544"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bottom w:val="single" w:sz="8" w:space="0" w:color="000000"/>
            </w:tcBorders>
            <w:shd w:fill="FFFFFF" w:val="clear"/>
            <w:vAlign w:val="center"/>
          </w:tcPr>
          <w:p>
            <w:pPr>
              <w:pStyle w:val="TableContents"/>
              <w:bidi w:val="0"/>
              <w:spacing w:before="0" w:after="283"/>
              <w:jc w:val="left"/>
              <w:rPr/>
            </w:pPr>
            <w:r>
              <w:rPr/>
              <w:t> </w:t>
            </w:r>
          </w:p>
        </w:tc>
        <w:tc>
          <w:tcPr>
            <w:tcW w:w="1328"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 w:type="dxa"/>
            <w:tcBorders>
              <w:bottom w:val="single" w:sz="8" w:space="0" w:color="000000"/>
            </w:tcBorders>
            <w:shd w:fill="FFFFFF" w:val="clear"/>
            <w:vAlign w:val="center"/>
          </w:tcPr>
          <w:p>
            <w:pPr>
              <w:pStyle w:val="TableContents"/>
              <w:bidi w:val="0"/>
              <w:spacing w:before="0" w:after="283"/>
              <w:jc w:val="left"/>
              <w:rPr/>
            </w:pPr>
            <w:r>
              <w:rPr/>
              <w:t> </w:t>
            </w:r>
          </w:p>
        </w:tc>
        <w:tc>
          <w:tcPr>
            <w:tcW w:w="1225" w:type="dxa"/>
            <w:tcBorders>
              <w:bottom w:val="single" w:sz="8" w:space="0" w:color="000000"/>
            </w:tcBorders>
            <w:shd w:fill="FFFFFF" w:val="clear"/>
            <w:vAlign w:val="center"/>
          </w:tcPr>
          <w:p>
            <w:pPr>
              <w:pStyle w:val="TableContents"/>
              <w:bidi w:val="0"/>
              <w:spacing w:before="0" w:after="283"/>
              <w:jc w:val="right"/>
              <w:rPr/>
            </w:pPr>
            <w:r>
              <w:rPr/>
              <w:t>1,898</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Operating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766" w:type="dxa"/>
            <w:tcBorders/>
            <w:shd w:fill="CCEEFF" w:val="clear"/>
            <w:tcMar>
              <w:bottom w:w="0" w:type="dxa"/>
            </w:tcMar>
            <w:vAlign w:val="center"/>
          </w:tcPr>
          <w:p>
            <w:pPr>
              <w:pStyle w:val="TableContents"/>
              <w:bidi w:val="0"/>
              <w:spacing w:before="0" w:after="283"/>
              <w:jc w:val="right"/>
              <w:rPr/>
            </w:pPr>
            <w:r>
              <w:rPr/>
              <w:t>(6,349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4,819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14" w:type="dxa"/>
            <w:tcBorders/>
            <w:shd w:fill="CCEEFF" w:val="clear"/>
            <w:tcMar>
              <w:bottom w:w="0" w:type="dxa"/>
            </w:tcMar>
            <w:vAlign w:val="center"/>
          </w:tcPr>
          <w:p>
            <w:pPr>
              <w:pStyle w:val="TableContents"/>
              <w:bidi w:val="0"/>
              <w:spacing w:before="0" w:after="283"/>
              <w:jc w:val="left"/>
              <w:rPr/>
            </w:pPr>
            <w:r>
              <w:rPr/>
              <w:t> </w:t>
            </w:r>
          </w:p>
        </w:tc>
        <w:tc>
          <w:tcPr>
            <w:tcW w:w="601" w:type="dxa"/>
            <w:tcBorders/>
            <w:shd w:fill="CCEEFF" w:val="clear"/>
            <w:tcMar>
              <w:bottom w:w="0" w:type="dxa"/>
            </w:tcMar>
            <w:vAlign w:val="center"/>
          </w:tcPr>
          <w:p>
            <w:pPr>
              <w:pStyle w:val="TableContents"/>
              <w:bidi w:val="0"/>
              <w:spacing w:before="0" w:after="283"/>
              <w:jc w:val="right"/>
              <w:rPr/>
            </w:pPr>
            <w:r>
              <w:rPr/>
              <w:t>164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6" w:type="dxa"/>
            <w:tcBorders/>
            <w:shd w:fill="CCEEFF" w:val="clear"/>
            <w:tcMar>
              <w:bottom w:w="0" w:type="dxa"/>
            </w:tcMar>
            <w:vAlign w:val="center"/>
          </w:tcPr>
          <w:p>
            <w:pPr>
              <w:pStyle w:val="TableContents"/>
              <w:bidi w:val="0"/>
              <w:spacing w:before="0" w:after="283"/>
              <w:jc w:val="left"/>
              <w:rPr/>
            </w:pPr>
            <w:r>
              <w:rPr/>
              <w:t> </w:t>
            </w:r>
          </w:p>
        </w:tc>
        <w:tc>
          <w:tcPr>
            <w:tcW w:w="1544" w:type="dxa"/>
            <w:tcBorders/>
            <w:shd w:fill="CCEEFF" w:val="clear"/>
            <w:tcMar>
              <w:bottom w:w="0" w:type="dxa"/>
            </w:tcMar>
            <w:vAlign w:val="center"/>
          </w:tcPr>
          <w:p>
            <w:pPr>
              <w:pStyle w:val="TableContents"/>
              <w:bidi w:val="0"/>
              <w:spacing w:before="0" w:after="283"/>
              <w:jc w:val="right"/>
              <w:rPr/>
            </w:pPr>
            <w:r>
              <w:rPr/>
              <w:t>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2"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5" w:type="dxa"/>
            <w:tcBorders/>
            <w:shd w:fill="CCEEFF" w:val="clear"/>
            <w:tcMar>
              <w:bottom w:w="0" w:type="dxa"/>
            </w:tcMar>
            <w:vAlign w:val="center"/>
          </w:tcPr>
          <w:p>
            <w:pPr>
              <w:pStyle w:val="TableContents"/>
              <w:bidi w:val="0"/>
              <w:spacing w:before="0" w:after="283"/>
              <w:jc w:val="left"/>
              <w:rPr/>
            </w:pPr>
            <w:r>
              <w:rPr/>
              <w:t> </w:t>
            </w:r>
          </w:p>
        </w:tc>
        <w:tc>
          <w:tcPr>
            <w:tcW w:w="1225" w:type="dxa"/>
            <w:tcBorders/>
            <w:shd w:fill="CCEEFF" w:val="clear"/>
            <w:tcMar>
              <w:bottom w:w="0" w:type="dxa"/>
            </w:tcMar>
            <w:vAlign w:val="center"/>
          </w:tcPr>
          <w:p>
            <w:pPr>
              <w:pStyle w:val="TableContents"/>
              <w:bidi w:val="0"/>
              <w:spacing w:before="0" w:after="283"/>
              <w:jc w:val="right"/>
              <w:rPr/>
            </w:pPr>
            <w:r>
              <w:rPr/>
              <w:t>(1,208</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w:t>
            </w:r>
          </w:p>
        </w:tc>
      </w:tr>
      <w:tr>
        <w:trPr/>
        <w:tc>
          <w:tcPr>
            <w:tcW w:w="1355" w:type="dxa"/>
            <w:tcBorders/>
            <w:shd w:fill="FFFFFF" w:val="clear"/>
            <w:tcMar>
              <w:bottom w:w="0" w:type="dxa"/>
            </w:tcMar>
            <w:vAlign w:val="center"/>
          </w:tcPr>
          <w:p>
            <w:pPr>
              <w:pStyle w:val="TableContents"/>
              <w:bidi w:val="0"/>
              <w:spacing w:before="0" w:after="283"/>
              <w:jc w:val="left"/>
              <w:rPr/>
            </w:pPr>
            <w:r>
              <w:rPr/>
              <w:t>Operating (loss) income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766" w:type="dxa"/>
            <w:tcBorders/>
            <w:shd w:fill="FFFFFF" w:val="clear"/>
            <w:tcMar>
              <w:bottom w:w="0" w:type="dxa"/>
            </w:tcMar>
            <w:vAlign w:val="center"/>
          </w:tcPr>
          <w:p>
            <w:pPr>
              <w:pStyle w:val="TableContents"/>
              <w:bidi w:val="0"/>
              <w:spacing w:before="0" w:after="283"/>
              <w:jc w:val="right"/>
              <w:rPr/>
            </w:pPr>
            <w:r>
              <w:rPr/>
              <w:t>-41.2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14" w:type="dxa"/>
            <w:tcBorders/>
            <w:shd w:fill="FFFFFF" w:val="clear"/>
            <w:tcMar>
              <w:bottom w:w="0" w:type="dxa"/>
            </w:tcMar>
            <w:vAlign w:val="center"/>
          </w:tcPr>
          <w:p>
            <w:pPr>
              <w:pStyle w:val="TableContents"/>
              <w:bidi w:val="0"/>
              <w:spacing w:before="0" w:after="283"/>
              <w:jc w:val="left"/>
              <w:rPr/>
            </w:pPr>
            <w:r>
              <w:rPr/>
              <w:t> </w:t>
            </w:r>
          </w:p>
        </w:tc>
        <w:tc>
          <w:tcPr>
            <w:tcW w:w="60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6" w:type="dxa"/>
            <w:tcBorders/>
            <w:shd w:fill="FFFFFF" w:val="clear"/>
            <w:tcMar>
              <w:bottom w:w="0" w:type="dxa"/>
            </w:tcMar>
            <w:vAlign w:val="center"/>
          </w:tcPr>
          <w:p>
            <w:pPr>
              <w:pStyle w:val="TableContents"/>
              <w:bidi w:val="0"/>
              <w:spacing w:before="0" w:after="283"/>
              <w:jc w:val="left"/>
              <w:rPr/>
            </w:pPr>
            <w:r>
              <w:rPr/>
              <w:t> </w:t>
            </w:r>
          </w:p>
        </w:tc>
        <w:tc>
          <w:tcPr>
            <w:tcW w:w="154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2"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5" w:type="dxa"/>
            <w:tcBorders/>
            <w:shd w:fill="FFFFFF" w:val="clear"/>
            <w:tcMar>
              <w:bottom w:w="0" w:type="dxa"/>
            </w:tcMar>
            <w:vAlign w:val="center"/>
          </w:tcPr>
          <w:p>
            <w:pPr>
              <w:pStyle w:val="TableContents"/>
              <w:bidi w:val="0"/>
              <w:spacing w:before="0" w:after="283"/>
              <w:jc w:val="left"/>
              <w:rPr/>
            </w:pPr>
            <w:r>
              <w:rPr/>
              <w:t> </w:t>
            </w:r>
          </w:p>
        </w:tc>
        <w:tc>
          <w:tcPr>
            <w:tcW w:w="1225" w:type="dxa"/>
            <w:tcBorders/>
            <w:shd w:fill="FFFFFF" w:val="clear"/>
            <w:tcMar>
              <w:bottom w:w="0" w:type="dxa"/>
            </w:tcMar>
            <w:vAlign w:val="center"/>
          </w:tcPr>
          <w:p>
            <w:pPr>
              <w:pStyle w:val="TableContents"/>
              <w:bidi w:val="0"/>
              <w:spacing w:before="0" w:after="283"/>
              <w:jc w:val="right"/>
              <w:rPr/>
            </w:pPr>
            <w:r>
              <w:rPr/>
              <w:t>-7.8</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Frequency Electronics, Inc. and Subsidiaries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Reported to Adjusted Numbers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jc w:val="center"/>
        <w:rPr>
          <w:caps w:val="false"/>
          <w:smallCaps w:val="false"/>
        </w:rPr>
      </w:pPr>
      <w:r>
        <w:rPr>
          <w:caps w:val="false"/>
          <w:smallCaps w:val="false"/>
        </w:rPr>
        <w:t> </w:t>
      </w:r>
    </w:p>
    <w:tbl>
      <w:tblPr>
        <w:tblW w:w="10820" w:type="dxa"/>
        <w:jc w:val="left"/>
        <w:tblInd w:w="0" w:type="dxa"/>
        <w:tblLayout w:type="fixed"/>
        <w:tblCellMar>
          <w:top w:w="0" w:type="dxa"/>
          <w:left w:w="0" w:type="dxa"/>
          <w:bottom w:w="28" w:type="dxa"/>
          <w:right w:w="0" w:type="dxa"/>
        </w:tblCellMar>
      </w:tblPr>
      <w:tblGrid>
        <w:gridCol w:w="1355"/>
        <w:gridCol w:w="60"/>
        <w:gridCol w:w="254"/>
        <w:gridCol w:w="726"/>
        <w:gridCol w:w="215"/>
        <w:gridCol w:w="60"/>
        <w:gridCol w:w="261"/>
        <w:gridCol w:w="1184"/>
        <w:gridCol w:w="95"/>
        <w:gridCol w:w="60"/>
        <w:gridCol w:w="254"/>
        <w:gridCol w:w="561"/>
        <w:gridCol w:w="95"/>
        <w:gridCol w:w="60"/>
        <w:gridCol w:w="310"/>
        <w:gridCol w:w="1510"/>
        <w:gridCol w:w="95"/>
        <w:gridCol w:w="60"/>
        <w:gridCol w:w="297"/>
        <w:gridCol w:w="1343"/>
        <w:gridCol w:w="95"/>
        <w:gridCol w:w="60"/>
        <w:gridCol w:w="422"/>
        <w:gridCol w:w="1158"/>
        <w:gridCol w:w="230"/>
      </w:tblGrid>
      <w:tr>
        <w:trPr/>
        <w:tc>
          <w:tcPr>
            <w:tcW w:w="10820" w:type="dxa"/>
            <w:gridSpan w:val="25"/>
            <w:tcBorders>
              <w:bottom w:val="single" w:sz="8" w:space="0" w:color="000000"/>
            </w:tcBorders>
            <w:vAlign w:val="center"/>
          </w:tcPr>
          <w:p>
            <w:pPr>
              <w:pStyle w:val="TableContents"/>
              <w:bidi w:val="0"/>
              <w:spacing w:before="0" w:after="283"/>
              <w:ind w:left="0" w:right="0" w:hanging="180"/>
              <w:jc w:val="left"/>
              <w:rPr>
                <w:b/>
              </w:rPr>
            </w:pPr>
            <w:r>
              <w:rPr>
                <w:b/>
              </w:rPr>
              <w:t>Reconciliation of Reported to Adjusted for Non-Recurring &amp; Future Investment (Non-GAAP) for the Three Months Ended April 30, 2026 (unaudited)</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tcMar>
              <w:bottom w:w="0" w:type="dxa"/>
            </w:tcMar>
            <w:vAlign w:val="center"/>
          </w:tcPr>
          <w:p>
            <w:pPr>
              <w:pStyle w:val="TableContents"/>
              <w:bidi w:val="0"/>
              <w:spacing w:before="0" w:after="283"/>
              <w:jc w:val="center"/>
              <w:rPr>
                <w:b/>
              </w:rPr>
            </w:pPr>
            <w:r>
              <w:rPr>
                <w:b/>
              </w:rPr>
              <w:t>Business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center"/>
              <w:rPr>
                <w:b/>
              </w:rPr>
            </w:pPr>
            <w:r>
              <w:rPr>
                <w:b/>
              </w:rPr>
              <w:t>Adjusted for</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center"/>
              <w:rPr>
                <w:b/>
              </w:rPr>
            </w:pPr>
            <w:r>
              <w:rPr>
                <w:b/>
              </w:rPr>
              <w:t>One Time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tcMar>
              <w:bottom w:w="0" w:type="dxa"/>
            </w:tcMar>
            <w:vAlign w:val="center"/>
          </w:tcPr>
          <w:p>
            <w:pPr>
              <w:pStyle w:val="TableContents"/>
              <w:bidi w:val="0"/>
              <w:spacing w:before="0" w:after="283"/>
              <w:jc w:val="center"/>
              <w:rPr>
                <w:b/>
              </w:rPr>
            </w:pPr>
            <w:r>
              <w:rPr>
                <w:b/>
              </w:rPr>
              <w:t>Transformational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tcMar>
              <w:bottom w:w="0" w:type="dxa"/>
            </w:tcMar>
            <w:vAlign w:val="center"/>
          </w:tcPr>
          <w:p>
            <w:pPr>
              <w:pStyle w:val="TableContents"/>
              <w:bidi w:val="0"/>
              <w:spacing w:before="0" w:after="283"/>
              <w:jc w:val="center"/>
              <w:rPr>
                <w:b/>
              </w:rPr>
            </w:pPr>
            <w:r>
              <w:rPr>
                <w:b/>
              </w:rPr>
              <w:t>Improvement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center"/>
              <w:rPr>
                <w:b/>
              </w:rPr>
            </w:pPr>
            <w:r>
              <w:rPr>
                <w:b/>
              </w:rPr>
              <w:t>Non-Recurring</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center"/>
              <w:rPr>
                <w:b/>
              </w:rPr>
            </w:pPr>
            <w:r>
              <w:rPr>
                <w:b/>
              </w:rPr>
              <w:t>Restructuring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center"/>
              <w:rPr>
                <w:b/>
              </w:rPr>
            </w:pPr>
            <w:r>
              <w:rPr>
                <w:b/>
              </w:rPr>
              <w:t>Change in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tcMar>
              <w:bottom w:w="0" w:type="dxa"/>
            </w:tcMar>
            <w:vAlign w:val="center"/>
          </w:tcPr>
          <w:p>
            <w:pPr>
              <w:pStyle w:val="TableContents"/>
              <w:bidi w:val="0"/>
              <w:spacing w:before="0" w:after="283"/>
              <w:jc w:val="center"/>
              <w:rPr>
                <w:b/>
              </w:rPr>
            </w:pPr>
            <w:r>
              <w:rPr>
                <w:b/>
              </w:rPr>
              <w:t>Employment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tcMar>
              <w:bottom w:w="0" w:type="dxa"/>
            </w:tcMar>
            <w:vAlign w:val="center"/>
          </w:tcPr>
          <w:p>
            <w:pPr>
              <w:pStyle w:val="TableContents"/>
              <w:bidi w:val="0"/>
              <w:spacing w:before="0" w:after="283"/>
              <w:jc w:val="center"/>
              <w:rPr>
                <w:b/>
              </w:rPr>
            </w:pPr>
            <w:r>
              <w:rPr>
                <w:b/>
              </w:rPr>
              <w:t>Transformation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center"/>
              <w:rPr>
                <w:b/>
              </w:rPr>
            </w:pPr>
            <w:r>
              <w:rPr>
                <w:b/>
              </w:rPr>
              <w:t>&amp; Future</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283"/>
              <w:jc w:val="center"/>
              <w:rPr>
                <w:b/>
              </w:rPr>
            </w:pPr>
            <w:r>
              <w:rPr>
                <w:b/>
              </w:rPr>
              <w:t>Reported</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Cost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PTO Policy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bottom w:val="single" w:sz="8" w:space="0" w:color="000000"/>
            </w:tcBorders>
            <w:vAlign w:val="center"/>
          </w:tcPr>
          <w:p>
            <w:pPr>
              <w:pStyle w:val="TableContents"/>
              <w:bidi w:val="0"/>
              <w:spacing w:before="0" w:after="283"/>
              <w:jc w:val="center"/>
              <w:rPr>
                <w:b/>
              </w:rPr>
            </w:pPr>
            <w:r>
              <w:rPr>
                <w:b/>
              </w:rPr>
              <w:t>Costs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283"/>
              <w:jc w:val="center"/>
              <w:rPr>
                <w:b/>
              </w:rPr>
            </w:pPr>
            <w:r>
              <w:rPr>
                <w:b/>
              </w:rPr>
              <w:t>Costs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bottom w:val="single" w:sz="8" w:space="0" w:color="000000"/>
            </w:tcBorders>
            <w:vAlign w:val="center"/>
          </w:tcPr>
          <w:p>
            <w:pPr>
              <w:pStyle w:val="TableContents"/>
              <w:bidi w:val="0"/>
              <w:spacing w:before="0" w:after="283"/>
              <w:jc w:val="center"/>
              <w:rPr>
                <w:b/>
              </w:rPr>
            </w:pPr>
            <w:r>
              <w:rPr>
                <w:b/>
              </w:rPr>
              <w:t>Investment</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726" w:type="dxa"/>
            <w:tcBorders/>
            <w:shd w:fill="CCEEFF" w:val="clear"/>
            <w:tcMar>
              <w:bottom w:w="0" w:type="dxa"/>
            </w:tcMar>
            <w:vAlign w:val="center"/>
          </w:tcPr>
          <w:p>
            <w:pPr>
              <w:pStyle w:val="TableContents"/>
              <w:bidi w:val="0"/>
              <w:spacing w:before="0" w:after="283"/>
              <w:jc w:val="right"/>
              <w:rPr/>
            </w:pPr>
            <w:r>
              <w:rPr/>
              <w:t>15,398</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w:t>
            </w:r>
          </w:p>
        </w:tc>
        <w:tc>
          <w:tcPr>
            <w:tcW w:w="118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w:t>
            </w:r>
          </w:p>
        </w:tc>
        <w:tc>
          <w:tcPr>
            <w:tcW w:w="56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1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w:t>
            </w:r>
          </w:p>
        </w:tc>
        <w:tc>
          <w:tcPr>
            <w:tcW w:w="1343"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w:t>
            </w:r>
          </w:p>
        </w:tc>
        <w:tc>
          <w:tcPr>
            <w:tcW w:w="1158" w:type="dxa"/>
            <w:tcBorders/>
            <w:shd w:fill="CCEEFF" w:val="clear"/>
            <w:tcMar>
              <w:bottom w:w="0" w:type="dxa"/>
            </w:tcMar>
            <w:vAlign w:val="center"/>
          </w:tcPr>
          <w:p>
            <w:pPr>
              <w:pStyle w:val="TableContents"/>
              <w:bidi w:val="0"/>
              <w:spacing w:before="0" w:after="283"/>
              <w:jc w:val="right"/>
              <w:rPr/>
            </w:pPr>
            <w:r>
              <w:rPr/>
              <w:t>15,398</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Cost of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bottom w:val="single" w:sz="8" w:space="0" w:color="000000"/>
            </w:tcBorders>
            <w:shd w:fill="FFFFFF" w:val="clear"/>
            <w:vAlign w:val="center"/>
          </w:tcPr>
          <w:p>
            <w:pPr>
              <w:pStyle w:val="TableContents"/>
              <w:bidi w:val="0"/>
              <w:spacing w:before="0" w:after="283"/>
              <w:jc w:val="left"/>
              <w:rPr/>
            </w:pPr>
            <w:r>
              <w:rPr/>
              <w:t> </w:t>
            </w:r>
          </w:p>
        </w:tc>
        <w:tc>
          <w:tcPr>
            <w:tcW w:w="726" w:type="dxa"/>
            <w:tcBorders>
              <w:bottom w:val="single" w:sz="8" w:space="0" w:color="000000"/>
            </w:tcBorders>
            <w:shd w:fill="FFFFFF" w:val="clear"/>
            <w:vAlign w:val="center"/>
          </w:tcPr>
          <w:p>
            <w:pPr>
              <w:pStyle w:val="TableContents"/>
              <w:bidi w:val="0"/>
              <w:spacing w:before="0" w:after="283"/>
              <w:jc w:val="right"/>
              <w:rPr/>
            </w:pPr>
            <w:r>
              <w:rPr/>
              <w:t>15,246</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bottom w:val="single" w:sz="8" w:space="0" w:color="000000"/>
            </w:tcBorders>
            <w:shd w:fill="FFFFFF" w:val="clear"/>
            <w:vAlign w:val="center"/>
          </w:tcPr>
          <w:p>
            <w:pPr>
              <w:pStyle w:val="TableContents"/>
              <w:bidi w:val="0"/>
              <w:spacing w:before="0" w:after="283"/>
              <w:jc w:val="left"/>
              <w:rPr/>
            </w:pPr>
            <w:r>
              <w:rPr/>
              <w:t> </w:t>
            </w:r>
          </w:p>
        </w:tc>
        <w:tc>
          <w:tcPr>
            <w:tcW w:w="1184" w:type="dxa"/>
            <w:tcBorders>
              <w:bottom w:val="single" w:sz="8" w:space="0" w:color="000000"/>
            </w:tcBorders>
            <w:shd w:fill="FFFFFF" w:val="clear"/>
            <w:vAlign w:val="center"/>
          </w:tcPr>
          <w:p>
            <w:pPr>
              <w:pStyle w:val="TableContents"/>
              <w:bidi w:val="0"/>
              <w:spacing w:before="0" w:after="283"/>
              <w:jc w:val="right"/>
              <w:rPr/>
            </w:pPr>
            <w:r>
              <w:rPr/>
              <w:t>(4,373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bottom w:val="single" w:sz="8" w:space="0" w:color="000000"/>
            </w:tcBorders>
            <w:shd w:fill="FFFFFF" w:val="clear"/>
            <w:vAlign w:val="center"/>
          </w:tcPr>
          <w:p>
            <w:pPr>
              <w:pStyle w:val="TableContents"/>
              <w:bidi w:val="0"/>
              <w:spacing w:before="0" w:after="283"/>
              <w:jc w:val="left"/>
              <w:rPr/>
            </w:pPr>
            <w:r>
              <w:rPr/>
              <w:t> </w:t>
            </w:r>
          </w:p>
        </w:tc>
        <w:tc>
          <w:tcPr>
            <w:tcW w:w="561"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bottom w:val="single" w:sz="8" w:space="0" w:color="000000"/>
            </w:tcBorders>
            <w:shd w:fill="FFFFFF" w:val="clear"/>
            <w:vAlign w:val="center"/>
          </w:tcPr>
          <w:p>
            <w:pPr>
              <w:pStyle w:val="TableContents"/>
              <w:bidi w:val="0"/>
              <w:spacing w:before="0" w:after="283"/>
              <w:jc w:val="left"/>
              <w:rPr/>
            </w:pPr>
            <w:r>
              <w:rPr/>
              <w:t> </w:t>
            </w:r>
          </w:p>
        </w:tc>
        <w:tc>
          <w:tcPr>
            <w:tcW w:w="1510" w:type="dxa"/>
            <w:tcBorders>
              <w:bottom w:val="single" w:sz="8" w:space="0" w:color="000000"/>
            </w:tcBorders>
            <w:shd w:fill="FFFFFF" w:val="clear"/>
            <w:vAlign w:val="center"/>
          </w:tcPr>
          <w:p>
            <w:pPr>
              <w:pStyle w:val="TableContents"/>
              <w:bidi w:val="0"/>
              <w:spacing w:before="0" w:after="283"/>
              <w:jc w:val="right"/>
              <w:rPr/>
            </w:pPr>
            <w:r>
              <w:rPr/>
              <w:t>(718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bottom w:val="single" w:sz="8" w:space="0" w:color="000000"/>
            </w:tcBorders>
            <w:shd w:fill="FFFFFF" w:val="clear"/>
            <w:vAlign w:val="center"/>
          </w:tcPr>
          <w:p>
            <w:pPr>
              <w:pStyle w:val="TableContents"/>
              <w:bidi w:val="0"/>
              <w:spacing w:before="0" w:after="283"/>
              <w:jc w:val="left"/>
              <w:rPr/>
            </w:pPr>
            <w:r>
              <w:rPr/>
              <w:t> </w:t>
            </w:r>
          </w:p>
        </w:tc>
        <w:tc>
          <w:tcPr>
            <w:tcW w:w="1343" w:type="dxa"/>
            <w:tcBorders>
              <w:bottom w:val="single" w:sz="8" w:space="0" w:color="000000"/>
            </w:tcBorders>
            <w:shd w:fill="FFFFFF" w:val="clear"/>
            <w:vAlign w:val="center"/>
          </w:tcPr>
          <w:p>
            <w:pPr>
              <w:pStyle w:val="TableContents"/>
              <w:bidi w:val="0"/>
              <w:spacing w:before="0" w:after="283"/>
              <w:jc w:val="right"/>
              <w:rPr/>
            </w:pPr>
            <w:r>
              <w:rPr/>
              <w:t>(323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bottom w:val="single" w:sz="8" w:space="0" w:color="000000"/>
            </w:tcBorders>
            <w:shd w:fill="FFFFFF" w:val="clear"/>
            <w:vAlign w:val="center"/>
          </w:tcPr>
          <w:p>
            <w:pPr>
              <w:pStyle w:val="TableContents"/>
              <w:bidi w:val="0"/>
              <w:spacing w:before="0" w:after="283"/>
              <w:jc w:val="left"/>
              <w:rPr/>
            </w:pPr>
            <w:r>
              <w:rPr/>
              <w:t> </w:t>
            </w:r>
          </w:p>
        </w:tc>
        <w:tc>
          <w:tcPr>
            <w:tcW w:w="1158" w:type="dxa"/>
            <w:tcBorders>
              <w:bottom w:val="single" w:sz="8" w:space="0" w:color="000000"/>
            </w:tcBorders>
            <w:shd w:fill="FFFFFF" w:val="clear"/>
            <w:vAlign w:val="center"/>
          </w:tcPr>
          <w:p>
            <w:pPr>
              <w:pStyle w:val="TableContents"/>
              <w:bidi w:val="0"/>
              <w:spacing w:before="0" w:after="283"/>
              <w:jc w:val="right"/>
              <w:rPr/>
            </w:pPr>
            <w:r>
              <w:rPr/>
              <w:t>9,832</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Gross margin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pPr>
            <w:r>
              <w:rPr/>
              <w:t>152</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4,373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561"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1510" w:type="dxa"/>
            <w:tcBorders/>
            <w:shd w:fill="CCEEFF" w:val="clear"/>
            <w:tcMar>
              <w:bottom w:w="0" w:type="dxa"/>
            </w:tcMar>
            <w:vAlign w:val="center"/>
          </w:tcPr>
          <w:p>
            <w:pPr>
              <w:pStyle w:val="TableContents"/>
              <w:bidi w:val="0"/>
              <w:spacing w:before="0" w:after="283"/>
              <w:jc w:val="right"/>
              <w:rPr/>
            </w:pPr>
            <w:r>
              <w:rPr/>
              <w:t>718.00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343" w:type="dxa"/>
            <w:tcBorders/>
            <w:shd w:fill="CCEEFF" w:val="clear"/>
            <w:tcMar>
              <w:bottom w:w="0" w:type="dxa"/>
            </w:tcMar>
            <w:vAlign w:val="center"/>
          </w:tcPr>
          <w:p>
            <w:pPr>
              <w:pStyle w:val="TableContents"/>
              <w:bidi w:val="0"/>
              <w:spacing w:before="0" w:after="283"/>
              <w:jc w:val="right"/>
              <w:rPr/>
            </w:pPr>
            <w:r>
              <w:rPr/>
              <w:t>323.00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5,566</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Gross Margin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right"/>
              <w:rPr/>
            </w:pPr>
            <w:r>
              <w:rPr/>
              <w:t>1.0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56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151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c>
          <w:tcPr>
            <w:tcW w:w="134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1158" w:type="dxa"/>
            <w:tcBorders/>
            <w:shd w:fill="FFFFFF" w:val="clear"/>
            <w:tcMar>
              <w:bottom w:w="0" w:type="dxa"/>
            </w:tcMar>
            <w:vAlign w:val="center"/>
          </w:tcPr>
          <w:p>
            <w:pPr>
              <w:pStyle w:val="TableContents"/>
              <w:bidi w:val="0"/>
              <w:spacing w:before="0" w:after="283"/>
              <w:jc w:val="right"/>
              <w:rPr/>
            </w:pPr>
            <w:r>
              <w:rPr/>
              <w:t>36.1</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55" w:type="dxa"/>
            <w:tcBorders/>
            <w:shd w:fill="CCEEFF" w:val="clear"/>
            <w:tcMar>
              <w:bottom w:w="0" w:type="dxa"/>
            </w:tcMar>
            <w:vAlign w:val="center"/>
          </w:tcPr>
          <w:p>
            <w:pPr>
              <w:pStyle w:val="TableContents"/>
              <w:bidi w:val="0"/>
              <w:spacing w:before="0" w:after="283"/>
              <w:jc w:val="left"/>
              <w:rPr/>
            </w:pPr>
            <w:r>
              <w:rPr/>
              <w:t>Selling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pPr>
            <w:r>
              <w:rPr/>
              <w:t>4,603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(446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561" w:type="dxa"/>
            <w:tcBorders/>
            <w:shd w:fill="CCEEFF" w:val="clear"/>
            <w:tcMar>
              <w:bottom w:w="0" w:type="dxa"/>
            </w:tcMar>
            <w:vAlign w:val="center"/>
          </w:tcPr>
          <w:p>
            <w:pPr>
              <w:pStyle w:val="TableContents"/>
              <w:bidi w:val="0"/>
              <w:spacing w:before="0" w:after="283"/>
              <w:jc w:val="right"/>
              <w:rPr/>
            </w:pPr>
            <w:r>
              <w:rPr/>
              <w:t>(164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1510" w:type="dxa"/>
            <w:tcBorders/>
            <w:shd w:fill="CCEEFF" w:val="clear"/>
            <w:tcMar>
              <w:bottom w:w="0" w:type="dxa"/>
            </w:tcMar>
            <w:vAlign w:val="center"/>
          </w:tcPr>
          <w:p>
            <w:pPr>
              <w:pStyle w:val="TableContents"/>
              <w:bidi w:val="0"/>
              <w:spacing w:before="0" w:after="283"/>
              <w:jc w:val="right"/>
              <w:rPr/>
            </w:pPr>
            <w:r>
              <w:rPr/>
              <w:t>(89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343" w:type="dxa"/>
            <w:tcBorders/>
            <w:shd w:fill="CCEEFF" w:val="clear"/>
            <w:tcMar>
              <w:bottom w:w="0" w:type="dxa"/>
            </w:tcMar>
            <w:vAlign w:val="center"/>
          </w:tcPr>
          <w:p>
            <w:pPr>
              <w:pStyle w:val="TableContents"/>
              <w:bidi w:val="0"/>
              <w:spacing w:before="0" w:after="283"/>
              <w:jc w:val="right"/>
              <w:rPr/>
            </w:pPr>
            <w:r>
              <w:rPr/>
              <w:t>(442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3,462</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bottom w:val="single" w:sz="8" w:space="0" w:color="000000"/>
            </w:tcBorders>
            <w:shd w:fill="FFFFFF" w:val="clear"/>
            <w:vAlign w:val="center"/>
          </w:tcPr>
          <w:p>
            <w:pPr>
              <w:pStyle w:val="TableContents"/>
              <w:bidi w:val="0"/>
              <w:spacing w:before="0" w:after="283"/>
              <w:jc w:val="left"/>
              <w:rPr/>
            </w:pPr>
            <w:r>
              <w:rPr/>
              <w:t> </w:t>
            </w:r>
          </w:p>
        </w:tc>
        <w:tc>
          <w:tcPr>
            <w:tcW w:w="726" w:type="dxa"/>
            <w:tcBorders>
              <w:bottom w:val="single" w:sz="8" w:space="0" w:color="000000"/>
            </w:tcBorders>
            <w:shd w:fill="FFFFFF" w:val="clear"/>
            <w:vAlign w:val="center"/>
          </w:tcPr>
          <w:p>
            <w:pPr>
              <w:pStyle w:val="TableContents"/>
              <w:bidi w:val="0"/>
              <w:spacing w:before="0" w:after="283"/>
              <w:jc w:val="right"/>
              <w:rPr/>
            </w:pPr>
            <w:r>
              <w:rPr/>
              <w:t>1,898</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bottom w:val="single" w:sz="8" w:space="0" w:color="000000"/>
            </w:tcBorders>
            <w:shd w:fill="FFFFFF" w:val="clear"/>
            <w:vAlign w:val="center"/>
          </w:tcPr>
          <w:p>
            <w:pPr>
              <w:pStyle w:val="TableContents"/>
              <w:bidi w:val="0"/>
              <w:spacing w:before="0" w:after="283"/>
              <w:jc w:val="left"/>
              <w:rPr/>
            </w:pPr>
            <w:r>
              <w:rPr/>
              <w:t> </w:t>
            </w:r>
          </w:p>
        </w:tc>
        <w:tc>
          <w:tcPr>
            <w:tcW w:w="1184"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bottom w:val="single" w:sz="8" w:space="0" w:color="000000"/>
            </w:tcBorders>
            <w:shd w:fill="FFFFFF" w:val="clear"/>
            <w:vAlign w:val="center"/>
          </w:tcPr>
          <w:p>
            <w:pPr>
              <w:pStyle w:val="TableContents"/>
              <w:bidi w:val="0"/>
              <w:spacing w:before="0" w:after="283"/>
              <w:jc w:val="left"/>
              <w:rPr/>
            </w:pPr>
            <w:r>
              <w:rPr/>
              <w:t> </w:t>
            </w:r>
          </w:p>
        </w:tc>
        <w:tc>
          <w:tcPr>
            <w:tcW w:w="561"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bottom w:val="single" w:sz="8" w:space="0" w:color="000000"/>
            </w:tcBorders>
            <w:shd w:fill="FFFFFF" w:val="clear"/>
            <w:vAlign w:val="center"/>
          </w:tcPr>
          <w:p>
            <w:pPr>
              <w:pStyle w:val="TableContents"/>
              <w:bidi w:val="0"/>
              <w:spacing w:before="0" w:after="283"/>
              <w:jc w:val="left"/>
              <w:rPr/>
            </w:pPr>
            <w:r>
              <w:rPr/>
              <w:t> </w:t>
            </w:r>
          </w:p>
        </w:tc>
        <w:tc>
          <w:tcPr>
            <w:tcW w:w="1510"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bottom w:val="single" w:sz="8" w:space="0" w:color="000000"/>
            </w:tcBorders>
            <w:shd w:fill="FFFFFF" w:val="clear"/>
            <w:vAlign w:val="center"/>
          </w:tcPr>
          <w:p>
            <w:pPr>
              <w:pStyle w:val="TableContents"/>
              <w:bidi w:val="0"/>
              <w:spacing w:before="0" w:after="283"/>
              <w:jc w:val="left"/>
              <w:rPr/>
            </w:pPr>
            <w:r>
              <w:rPr/>
              <w:t> </w:t>
            </w:r>
          </w:p>
        </w:tc>
        <w:tc>
          <w:tcPr>
            <w:tcW w:w="1343"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bottom w:val="single" w:sz="8" w:space="0" w:color="000000"/>
            </w:tcBorders>
            <w:shd w:fill="FFFFFF" w:val="clear"/>
            <w:vAlign w:val="center"/>
          </w:tcPr>
          <w:p>
            <w:pPr>
              <w:pStyle w:val="TableContents"/>
              <w:bidi w:val="0"/>
              <w:spacing w:before="0" w:after="283"/>
              <w:jc w:val="left"/>
              <w:rPr/>
            </w:pPr>
            <w:r>
              <w:rPr/>
              <w:t> </w:t>
            </w:r>
          </w:p>
        </w:tc>
        <w:tc>
          <w:tcPr>
            <w:tcW w:w="1158" w:type="dxa"/>
            <w:tcBorders>
              <w:bottom w:val="single" w:sz="8" w:space="0" w:color="000000"/>
            </w:tcBorders>
            <w:shd w:fill="FFFFFF" w:val="clear"/>
            <w:vAlign w:val="center"/>
          </w:tcPr>
          <w:p>
            <w:pPr>
              <w:pStyle w:val="TableContents"/>
              <w:bidi w:val="0"/>
              <w:spacing w:before="0" w:after="283"/>
              <w:jc w:val="right"/>
              <w:rPr/>
            </w:pPr>
            <w:r>
              <w:rPr/>
              <w:t>1,898</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Operating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726" w:type="dxa"/>
            <w:tcBorders/>
            <w:shd w:fill="CCEEFF" w:val="clear"/>
            <w:tcMar>
              <w:bottom w:w="0" w:type="dxa"/>
            </w:tcMar>
            <w:vAlign w:val="center"/>
          </w:tcPr>
          <w:p>
            <w:pPr>
              <w:pStyle w:val="TableContents"/>
              <w:bidi w:val="0"/>
              <w:spacing w:before="0" w:after="283"/>
              <w:jc w:val="right"/>
              <w:rPr/>
            </w:pPr>
            <w:r>
              <w:rPr/>
              <w:t>(6,349</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4,819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4" w:type="dxa"/>
            <w:tcBorders/>
            <w:shd w:fill="CCEEFF" w:val="clear"/>
            <w:tcMar>
              <w:bottom w:w="0" w:type="dxa"/>
            </w:tcMar>
            <w:vAlign w:val="center"/>
          </w:tcPr>
          <w:p>
            <w:pPr>
              <w:pStyle w:val="TableContents"/>
              <w:bidi w:val="0"/>
              <w:spacing w:before="0" w:after="283"/>
              <w:jc w:val="left"/>
              <w:rPr/>
            </w:pPr>
            <w:r>
              <w:rPr/>
              <w:t> </w:t>
            </w:r>
          </w:p>
        </w:tc>
        <w:tc>
          <w:tcPr>
            <w:tcW w:w="561" w:type="dxa"/>
            <w:tcBorders/>
            <w:shd w:fill="CCEEFF" w:val="clear"/>
            <w:tcMar>
              <w:bottom w:w="0" w:type="dxa"/>
            </w:tcMar>
            <w:vAlign w:val="center"/>
          </w:tcPr>
          <w:p>
            <w:pPr>
              <w:pStyle w:val="TableContents"/>
              <w:bidi w:val="0"/>
              <w:spacing w:before="0" w:after="283"/>
              <w:jc w:val="right"/>
              <w:rPr/>
            </w:pPr>
            <w:r>
              <w:rPr/>
              <w:t>164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10" w:type="dxa"/>
            <w:tcBorders/>
            <w:shd w:fill="CCEEFF" w:val="clear"/>
            <w:tcMar>
              <w:bottom w:w="0" w:type="dxa"/>
            </w:tcMar>
            <w:vAlign w:val="center"/>
          </w:tcPr>
          <w:p>
            <w:pPr>
              <w:pStyle w:val="TableContents"/>
              <w:bidi w:val="0"/>
              <w:spacing w:before="0" w:after="283"/>
              <w:jc w:val="left"/>
              <w:rPr/>
            </w:pPr>
            <w:r>
              <w:rPr/>
              <w:t> </w:t>
            </w:r>
          </w:p>
        </w:tc>
        <w:tc>
          <w:tcPr>
            <w:tcW w:w="1510" w:type="dxa"/>
            <w:tcBorders/>
            <w:shd w:fill="CCEEFF" w:val="clear"/>
            <w:tcMar>
              <w:bottom w:w="0" w:type="dxa"/>
            </w:tcMar>
            <w:vAlign w:val="center"/>
          </w:tcPr>
          <w:p>
            <w:pPr>
              <w:pStyle w:val="TableContents"/>
              <w:bidi w:val="0"/>
              <w:spacing w:before="0" w:after="283"/>
              <w:jc w:val="right"/>
              <w:rPr/>
            </w:pPr>
            <w:r>
              <w:rPr/>
              <w:t>807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7" w:type="dxa"/>
            <w:tcBorders/>
            <w:shd w:fill="CCEEFF" w:val="clear"/>
            <w:tcMar>
              <w:bottom w:w="0" w:type="dxa"/>
            </w:tcMar>
            <w:vAlign w:val="center"/>
          </w:tcPr>
          <w:p>
            <w:pPr>
              <w:pStyle w:val="TableContents"/>
              <w:bidi w:val="0"/>
              <w:spacing w:before="0" w:after="283"/>
              <w:jc w:val="left"/>
              <w:rPr/>
            </w:pPr>
            <w:r>
              <w:rPr/>
              <w:t> </w:t>
            </w:r>
          </w:p>
        </w:tc>
        <w:tc>
          <w:tcPr>
            <w:tcW w:w="1343" w:type="dxa"/>
            <w:tcBorders/>
            <w:shd w:fill="CCEEFF" w:val="clear"/>
            <w:tcMar>
              <w:bottom w:w="0" w:type="dxa"/>
            </w:tcMar>
            <w:vAlign w:val="center"/>
          </w:tcPr>
          <w:p>
            <w:pPr>
              <w:pStyle w:val="TableContents"/>
              <w:bidi w:val="0"/>
              <w:spacing w:before="0" w:after="283"/>
              <w:jc w:val="right"/>
              <w:rPr/>
            </w:pPr>
            <w:r>
              <w:rPr/>
              <w:t>765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22" w:type="dxa"/>
            <w:tcBorders/>
            <w:shd w:fill="CCEEFF" w:val="clear"/>
            <w:tcMar>
              <w:bottom w:w="0" w:type="dxa"/>
            </w:tcMar>
            <w:vAlign w:val="center"/>
          </w:tcPr>
          <w:p>
            <w:pPr>
              <w:pStyle w:val="TableContents"/>
              <w:bidi w:val="0"/>
              <w:spacing w:before="0" w:after="283"/>
              <w:jc w:val="left"/>
              <w:rPr/>
            </w:pPr>
            <w:r>
              <w:rPr/>
              <w:t> </w:t>
            </w:r>
          </w:p>
        </w:tc>
        <w:tc>
          <w:tcPr>
            <w:tcW w:w="1158" w:type="dxa"/>
            <w:tcBorders/>
            <w:shd w:fill="CCEEFF" w:val="clear"/>
            <w:tcMar>
              <w:bottom w:w="0" w:type="dxa"/>
            </w:tcMar>
            <w:vAlign w:val="center"/>
          </w:tcPr>
          <w:p>
            <w:pPr>
              <w:pStyle w:val="TableContents"/>
              <w:bidi w:val="0"/>
              <w:spacing w:before="0" w:after="283"/>
              <w:jc w:val="right"/>
              <w:rPr/>
            </w:pPr>
            <w:r>
              <w:rPr/>
              <w:t>206</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Operating (loss) income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726" w:type="dxa"/>
            <w:tcBorders/>
            <w:shd w:fill="FFFFFF" w:val="clear"/>
            <w:tcMar>
              <w:bottom w:w="0" w:type="dxa"/>
            </w:tcMar>
            <w:vAlign w:val="center"/>
          </w:tcPr>
          <w:p>
            <w:pPr>
              <w:pStyle w:val="TableContents"/>
              <w:bidi w:val="0"/>
              <w:spacing w:before="0" w:after="283"/>
              <w:jc w:val="right"/>
              <w:rPr/>
            </w:pPr>
            <w:r>
              <w:rPr/>
              <w:t>-41.2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4" w:type="dxa"/>
            <w:tcBorders/>
            <w:shd w:fill="FFFFFF" w:val="clear"/>
            <w:tcMar>
              <w:bottom w:w="0" w:type="dxa"/>
            </w:tcMar>
            <w:vAlign w:val="center"/>
          </w:tcPr>
          <w:p>
            <w:pPr>
              <w:pStyle w:val="TableContents"/>
              <w:bidi w:val="0"/>
              <w:spacing w:before="0" w:after="283"/>
              <w:jc w:val="left"/>
              <w:rPr/>
            </w:pPr>
            <w:r>
              <w:rPr/>
              <w:t> </w:t>
            </w:r>
          </w:p>
        </w:tc>
        <w:tc>
          <w:tcPr>
            <w:tcW w:w="561"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10" w:type="dxa"/>
            <w:tcBorders/>
            <w:shd w:fill="FFFFFF" w:val="clear"/>
            <w:tcMar>
              <w:bottom w:w="0" w:type="dxa"/>
            </w:tcMar>
            <w:vAlign w:val="center"/>
          </w:tcPr>
          <w:p>
            <w:pPr>
              <w:pStyle w:val="TableContents"/>
              <w:bidi w:val="0"/>
              <w:spacing w:before="0" w:after="283"/>
              <w:jc w:val="left"/>
              <w:rPr/>
            </w:pPr>
            <w:r>
              <w:rPr/>
              <w:t> </w:t>
            </w:r>
          </w:p>
        </w:tc>
        <w:tc>
          <w:tcPr>
            <w:tcW w:w="151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7" w:type="dxa"/>
            <w:tcBorders/>
            <w:shd w:fill="FFFFFF" w:val="clear"/>
            <w:tcMar>
              <w:bottom w:w="0" w:type="dxa"/>
            </w:tcMar>
            <w:vAlign w:val="center"/>
          </w:tcPr>
          <w:p>
            <w:pPr>
              <w:pStyle w:val="TableContents"/>
              <w:bidi w:val="0"/>
              <w:spacing w:before="0" w:after="283"/>
              <w:jc w:val="left"/>
              <w:rPr/>
            </w:pPr>
            <w:r>
              <w:rPr/>
              <w:t> </w:t>
            </w:r>
          </w:p>
        </w:tc>
        <w:tc>
          <w:tcPr>
            <w:tcW w:w="1343"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22" w:type="dxa"/>
            <w:tcBorders/>
            <w:shd w:fill="FFFFFF" w:val="clear"/>
            <w:tcMar>
              <w:bottom w:w="0" w:type="dxa"/>
            </w:tcMar>
            <w:vAlign w:val="center"/>
          </w:tcPr>
          <w:p>
            <w:pPr>
              <w:pStyle w:val="TableContents"/>
              <w:bidi w:val="0"/>
              <w:spacing w:before="0" w:after="283"/>
              <w:jc w:val="left"/>
              <w:rPr/>
            </w:pPr>
            <w:r>
              <w:rPr/>
              <w:t> </w:t>
            </w:r>
          </w:p>
        </w:tc>
        <w:tc>
          <w:tcPr>
            <w:tcW w:w="1158" w:type="dxa"/>
            <w:tcBorders/>
            <w:shd w:fill="FFFFFF" w:val="clear"/>
            <w:tcMar>
              <w:bottom w:w="0" w:type="dxa"/>
            </w:tcMar>
            <w:vAlign w:val="center"/>
          </w:tcPr>
          <w:p>
            <w:pPr>
              <w:pStyle w:val="TableContents"/>
              <w:bidi w:val="0"/>
              <w:spacing w:before="0" w:after="283"/>
              <w:jc w:val="right"/>
              <w:rPr/>
            </w:pPr>
            <w:r>
              <w:rPr/>
              <w:t>1.3</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820" w:type="dxa"/>
        <w:jc w:val="left"/>
        <w:tblInd w:w="0" w:type="dxa"/>
        <w:tblLayout w:type="fixed"/>
        <w:tblCellMar>
          <w:top w:w="0" w:type="dxa"/>
          <w:left w:w="0" w:type="dxa"/>
          <w:bottom w:w="28" w:type="dxa"/>
          <w:right w:w="0" w:type="dxa"/>
        </w:tblCellMar>
      </w:tblPr>
      <w:tblGrid>
        <w:gridCol w:w="1355"/>
        <w:gridCol w:w="60"/>
        <w:gridCol w:w="221"/>
        <w:gridCol w:w="759"/>
        <w:gridCol w:w="215"/>
        <w:gridCol w:w="60"/>
        <w:gridCol w:w="261"/>
        <w:gridCol w:w="1184"/>
        <w:gridCol w:w="95"/>
        <w:gridCol w:w="60"/>
        <w:gridCol w:w="221"/>
        <w:gridCol w:w="594"/>
        <w:gridCol w:w="95"/>
        <w:gridCol w:w="60"/>
        <w:gridCol w:w="296"/>
        <w:gridCol w:w="1524"/>
        <w:gridCol w:w="95"/>
        <w:gridCol w:w="60"/>
        <w:gridCol w:w="406"/>
        <w:gridCol w:w="1234"/>
        <w:gridCol w:w="95"/>
        <w:gridCol w:w="60"/>
        <w:gridCol w:w="367"/>
        <w:gridCol w:w="1213"/>
        <w:gridCol w:w="230"/>
      </w:tblGrid>
      <w:tr>
        <w:trPr/>
        <w:tc>
          <w:tcPr>
            <w:tcW w:w="10820" w:type="dxa"/>
            <w:gridSpan w:val="25"/>
            <w:tcBorders>
              <w:bottom w:val="single" w:sz="8" w:space="0" w:color="000000"/>
            </w:tcBorders>
            <w:vAlign w:val="center"/>
          </w:tcPr>
          <w:p>
            <w:pPr>
              <w:pStyle w:val="TableContents"/>
              <w:bidi w:val="0"/>
              <w:spacing w:before="0" w:after="283"/>
              <w:ind w:left="0" w:right="0" w:hanging="180"/>
              <w:jc w:val="left"/>
              <w:rPr>
                <w:b/>
              </w:rPr>
            </w:pPr>
            <w:r>
              <w:rPr>
                <w:b/>
              </w:rPr>
              <w:t>Reconciliation of Reported to Adjusted for Non-Recurring (Non-GAAP) for the Twelve Months Ended April 30, 2026 (unaudited)</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tcMar>
              <w:bottom w:w="0" w:type="dxa"/>
            </w:tcMar>
            <w:vAlign w:val="center"/>
          </w:tcPr>
          <w:p>
            <w:pPr>
              <w:pStyle w:val="TableContents"/>
              <w:bidi w:val="0"/>
              <w:spacing w:before="0" w:after="283"/>
              <w:jc w:val="center"/>
              <w:rPr>
                <w:b/>
              </w:rPr>
            </w:pPr>
            <w:r>
              <w:rPr>
                <w:b/>
              </w:rPr>
              <w:t>Business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center"/>
              <w:rPr>
                <w:b/>
              </w:rPr>
            </w:pPr>
            <w:r>
              <w:rPr>
                <w:b/>
              </w:rPr>
              <w:t>One Time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tcMar>
              <w:bottom w:w="0" w:type="dxa"/>
            </w:tcMar>
            <w:vAlign w:val="center"/>
          </w:tcPr>
          <w:p>
            <w:pPr>
              <w:pStyle w:val="TableContents"/>
              <w:bidi w:val="0"/>
              <w:spacing w:before="0" w:after="283"/>
              <w:jc w:val="center"/>
              <w:rPr>
                <w:b/>
              </w:rPr>
            </w:pPr>
            <w:r>
              <w:rPr>
                <w:b/>
              </w:rPr>
              <w:t>Transformational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tcMar>
              <w:bottom w:w="0" w:type="dxa"/>
            </w:tcMar>
            <w:vAlign w:val="center"/>
          </w:tcPr>
          <w:p>
            <w:pPr>
              <w:pStyle w:val="TableContents"/>
              <w:bidi w:val="0"/>
              <w:spacing w:before="0" w:after="283"/>
              <w:jc w:val="center"/>
              <w:rPr>
                <w:b/>
              </w:rPr>
            </w:pPr>
            <w:r>
              <w:rPr>
                <w:b/>
              </w:rPr>
              <w:t>Improvement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left"/>
              <w:rPr/>
            </w:pPr>
            <w:r>
              <w:rPr/>
              <w:t> </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center"/>
              <w:rPr>
                <w:b/>
              </w:rPr>
            </w:pPr>
            <w:r>
              <w:rPr>
                <w:b/>
              </w:rPr>
              <w:t>Restructuring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center"/>
              <w:rPr>
                <w:b/>
              </w:rPr>
            </w:pPr>
            <w:r>
              <w:rPr>
                <w:b/>
              </w:rPr>
              <w:t>Change in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tcMar>
              <w:bottom w:w="0" w:type="dxa"/>
            </w:tcMar>
            <w:vAlign w:val="center"/>
          </w:tcPr>
          <w:p>
            <w:pPr>
              <w:pStyle w:val="TableContents"/>
              <w:bidi w:val="0"/>
              <w:spacing w:before="0" w:after="283"/>
              <w:jc w:val="center"/>
              <w:rPr>
                <w:b/>
              </w:rPr>
            </w:pPr>
            <w:r>
              <w:rPr>
                <w:b/>
              </w:rPr>
              <w:t>Employment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tcMar>
              <w:bottom w:w="0" w:type="dxa"/>
            </w:tcMar>
            <w:vAlign w:val="center"/>
          </w:tcPr>
          <w:p>
            <w:pPr>
              <w:pStyle w:val="TableContents"/>
              <w:bidi w:val="0"/>
              <w:spacing w:before="0" w:after="283"/>
              <w:jc w:val="center"/>
              <w:rPr>
                <w:b/>
              </w:rPr>
            </w:pPr>
            <w:r>
              <w:rPr>
                <w:b/>
              </w:rPr>
              <w:t>Transformation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center"/>
              <w:rPr>
                <w:b/>
              </w:rPr>
            </w:pPr>
            <w:r>
              <w:rPr>
                <w:b/>
              </w:rPr>
              <w:t>Adjusted for</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283"/>
              <w:jc w:val="center"/>
              <w:rPr>
                <w:b/>
              </w:rPr>
            </w:pPr>
            <w:r>
              <w:rPr>
                <w:b/>
              </w:rPr>
              <w:t>Reported</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Cost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PTO Policy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bottom w:val="single" w:sz="8" w:space="0" w:color="000000"/>
            </w:tcBorders>
            <w:vAlign w:val="center"/>
          </w:tcPr>
          <w:p>
            <w:pPr>
              <w:pStyle w:val="TableContents"/>
              <w:bidi w:val="0"/>
              <w:spacing w:before="0" w:after="283"/>
              <w:jc w:val="center"/>
              <w:rPr>
                <w:b/>
              </w:rPr>
            </w:pPr>
            <w:r>
              <w:rPr>
                <w:b/>
              </w:rPr>
              <w:t>Costs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283"/>
              <w:jc w:val="center"/>
              <w:rPr>
                <w:b/>
              </w:rPr>
            </w:pPr>
            <w:r>
              <w:rPr>
                <w:b/>
              </w:rPr>
              <w:t>Costs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bottom w:val="single" w:sz="8" w:space="0" w:color="000000"/>
            </w:tcBorders>
            <w:vAlign w:val="center"/>
          </w:tcPr>
          <w:p>
            <w:pPr>
              <w:pStyle w:val="TableContents"/>
              <w:bidi w:val="0"/>
              <w:spacing w:before="0" w:after="283"/>
              <w:jc w:val="left"/>
              <w:rPr>
                <w:b/>
              </w:rPr>
            </w:pPr>
            <w:r>
              <w:rPr>
                <w:b/>
              </w:rPr>
              <w:t>Non-Recurring</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759" w:type="dxa"/>
            <w:tcBorders/>
            <w:shd w:fill="CCEEFF" w:val="clear"/>
            <w:tcMar>
              <w:bottom w:w="0" w:type="dxa"/>
            </w:tcMar>
            <w:vAlign w:val="center"/>
          </w:tcPr>
          <w:p>
            <w:pPr>
              <w:pStyle w:val="TableContents"/>
              <w:bidi w:val="0"/>
              <w:spacing w:before="0" w:after="283"/>
              <w:jc w:val="right"/>
              <w:rPr/>
            </w:pPr>
            <w:r>
              <w:rPr/>
              <w:t>63,227</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w:t>
            </w:r>
          </w:p>
        </w:tc>
        <w:tc>
          <w:tcPr>
            <w:tcW w:w="118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w:t>
            </w:r>
          </w:p>
        </w:tc>
        <w:tc>
          <w:tcPr>
            <w:tcW w:w="59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 w:type="dxa"/>
            <w:tcBorders/>
            <w:shd w:fill="CCEEFF" w:val="clear"/>
            <w:tcMar>
              <w:bottom w:w="0" w:type="dxa"/>
            </w:tcMar>
            <w:vAlign w:val="center"/>
          </w:tcPr>
          <w:p>
            <w:pPr>
              <w:pStyle w:val="TableContents"/>
              <w:bidi w:val="0"/>
              <w:spacing w:before="0" w:after="283"/>
              <w:jc w:val="left"/>
              <w:rPr/>
            </w:pPr>
            <w:r>
              <w:rPr/>
              <w:t>$</w:t>
            </w:r>
          </w:p>
        </w:tc>
        <w:tc>
          <w:tcPr>
            <w:tcW w:w="152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6" w:type="dxa"/>
            <w:tcBorders/>
            <w:shd w:fill="CCEEFF" w:val="clear"/>
            <w:tcMar>
              <w:bottom w:w="0" w:type="dxa"/>
            </w:tcMar>
            <w:vAlign w:val="center"/>
          </w:tcPr>
          <w:p>
            <w:pPr>
              <w:pStyle w:val="TableContents"/>
              <w:bidi w:val="0"/>
              <w:spacing w:before="0" w:after="283"/>
              <w:jc w:val="left"/>
              <w:rPr/>
            </w:pPr>
            <w:r>
              <w:rPr/>
              <w:t>$</w:t>
            </w:r>
          </w:p>
        </w:tc>
        <w:tc>
          <w:tcPr>
            <w:tcW w:w="12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7" w:type="dxa"/>
            <w:tcBorders/>
            <w:shd w:fill="CCEEFF" w:val="clear"/>
            <w:tcMar>
              <w:bottom w:w="0" w:type="dxa"/>
            </w:tcMar>
            <w:vAlign w:val="center"/>
          </w:tcPr>
          <w:p>
            <w:pPr>
              <w:pStyle w:val="TableContents"/>
              <w:bidi w:val="0"/>
              <w:spacing w:before="0" w:after="283"/>
              <w:jc w:val="left"/>
              <w:rPr/>
            </w:pPr>
            <w:r>
              <w:rPr/>
              <w:t>$</w:t>
            </w:r>
          </w:p>
        </w:tc>
        <w:tc>
          <w:tcPr>
            <w:tcW w:w="1213" w:type="dxa"/>
            <w:tcBorders/>
            <w:shd w:fill="CCEEFF" w:val="clear"/>
            <w:tcMar>
              <w:bottom w:w="0" w:type="dxa"/>
            </w:tcMar>
            <w:vAlign w:val="center"/>
          </w:tcPr>
          <w:p>
            <w:pPr>
              <w:pStyle w:val="TableContents"/>
              <w:bidi w:val="0"/>
              <w:spacing w:before="0" w:after="283"/>
              <w:jc w:val="right"/>
              <w:rPr/>
            </w:pPr>
            <w:r>
              <w:rPr/>
              <w:t>63,227</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Cost of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bottom w:val="single" w:sz="8" w:space="0" w:color="000000"/>
            </w:tcBorders>
            <w:shd w:fill="FFFFFF" w:val="clear"/>
            <w:vAlign w:val="center"/>
          </w:tcPr>
          <w:p>
            <w:pPr>
              <w:pStyle w:val="TableContents"/>
              <w:bidi w:val="0"/>
              <w:spacing w:before="0" w:after="283"/>
              <w:jc w:val="left"/>
              <w:rPr/>
            </w:pPr>
            <w:r>
              <w:rPr/>
              <w:t> </w:t>
            </w:r>
          </w:p>
        </w:tc>
        <w:tc>
          <w:tcPr>
            <w:tcW w:w="759" w:type="dxa"/>
            <w:tcBorders>
              <w:bottom w:val="single" w:sz="8" w:space="0" w:color="000000"/>
            </w:tcBorders>
            <w:shd w:fill="FFFFFF" w:val="clear"/>
            <w:vAlign w:val="center"/>
          </w:tcPr>
          <w:p>
            <w:pPr>
              <w:pStyle w:val="TableContents"/>
              <w:bidi w:val="0"/>
              <w:spacing w:before="0" w:after="283"/>
              <w:jc w:val="right"/>
              <w:rPr/>
            </w:pPr>
            <w:r>
              <w:rPr/>
              <w:t>44,831</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bottom w:val="single" w:sz="8" w:space="0" w:color="000000"/>
            </w:tcBorders>
            <w:shd w:fill="FFFFFF" w:val="clear"/>
            <w:vAlign w:val="center"/>
          </w:tcPr>
          <w:p>
            <w:pPr>
              <w:pStyle w:val="TableContents"/>
              <w:bidi w:val="0"/>
              <w:spacing w:before="0" w:after="283"/>
              <w:jc w:val="left"/>
              <w:rPr/>
            </w:pPr>
            <w:r>
              <w:rPr/>
              <w:t> </w:t>
            </w:r>
          </w:p>
        </w:tc>
        <w:tc>
          <w:tcPr>
            <w:tcW w:w="1184" w:type="dxa"/>
            <w:tcBorders>
              <w:bottom w:val="single" w:sz="8" w:space="0" w:color="000000"/>
            </w:tcBorders>
            <w:shd w:fill="FFFFFF" w:val="clear"/>
            <w:vAlign w:val="center"/>
          </w:tcPr>
          <w:p>
            <w:pPr>
              <w:pStyle w:val="TableContents"/>
              <w:bidi w:val="0"/>
              <w:spacing w:before="0" w:after="283"/>
              <w:jc w:val="right"/>
              <w:rPr/>
            </w:pPr>
            <w:r>
              <w:rPr/>
              <w:t>(4,373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bottom w:val="single" w:sz="8" w:space="0" w:color="000000"/>
            </w:tcBorders>
            <w:shd w:fill="FFFFFF" w:val="clear"/>
            <w:vAlign w:val="center"/>
          </w:tcPr>
          <w:p>
            <w:pPr>
              <w:pStyle w:val="TableContents"/>
              <w:bidi w:val="0"/>
              <w:spacing w:before="0" w:after="283"/>
              <w:jc w:val="left"/>
              <w:rPr/>
            </w:pPr>
            <w:r>
              <w:rPr/>
              <w:t> </w:t>
            </w:r>
          </w:p>
        </w:tc>
        <w:tc>
          <w:tcPr>
            <w:tcW w:w="594"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6" w:type="dxa"/>
            <w:tcBorders>
              <w:bottom w:val="single" w:sz="8" w:space="0" w:color="000000"/>
            </w:tcBorders>
            <w:shd w:fill="FFFFFF" w:val="clear"/>
            <w:vAlign w:val="center"/>
          </w:tcPr>
          <w:p>
            <w:pPr>
              <w:pStyle w:val="TableContents"/>
              <w:bidi w:val="0"/>
              <w:spacing w:before="0" w:after="283"/>
              <w:jc w:val="left"/>
              <w:rPr/>
            </w:pPr>
            <w:r>
              <w:rPr/>
              <w:t> </w:t>
            </w:r>
          </w:p>
        </w:tc>
        <w:tc>
          <w:tcPr>
            <w:tcW w:w="1524"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6" w:type="dxa"/>
            <w:tcBorders>
              <w:bottom w:val="single" w:sz="8" w:space="0" w:color="000000"/>
            </w:tcBorders>
            <w:shd w:fill="FFFFFF" w:val="clear"/>
            <w:vAlign w:val="center"/>
          </w:tcPr>
          <w:p>
            <w:pPr>
              <w:pStyle w:val="TableContents"/>
              <w:bidi w:val="0"/>
              <w:spacing w:before="0" w:after="283"/>
              <w:jc w:val="left"/>
              <w:rPr/>
            </w:pPr>
            <w:r>
              <w:rPr/>
              <w:t> </w:t>
            </w:r>
          </w:p>
        </w:tc>
        <w:tc>
          <w:tcPr>
            <w:tcW w:w="1234"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7" w:type="dxa"/>
            <w:tcBorders>
              <w:bottom w:val="single" w:sz="8" w:space="0" w:color="000000"/>
            </w:tcBorders>
            <w:shd w:fill="FFFFFF" w:val="clear"/>
            <w:vAlign w:val="center"/>
          </w:tcPr>
          <w:p>
            <w:pPr>
              <w:pStyle w:val="TableContents"/>
              <w:bidi w:val="0"/>
              <w:spacing w:before="0" w:after="283"/>
              <w:jc w:val="left"/>
              <w:rPr/>
            </w:pPr>
            <w:r>
              <w:rPr/>
              <w:t> </w:t>
            </w:r>
          </w:p>
        </w:tc>
        <w:tc>
          <w:tcPr>
            <w:tcW w:w="1213" w:type="dxa"/>
            <w:tcBorders>
              <w:bottom w:val="single" w:sz="8" w:space="0" w:color="000000"/>
            </w:tcBorders>
            <w:shd w:fill="FFFFFF" w:val="clear"/>
            <w:vAlign w:val="center"/>
          </w:tcPr>
          <w:p>
            <w:pPr>
              <w:pStyle w:val="TableContents"/>
              <w:bidi w:val="0"/>
              <w:spacing w:before="0" w:after="283"/>
              <w:jc w:val="right"/>
              <w:rPr/>
            </w:pPr>
            <w:r>
              <w:rPr/>
              <w:t>40,458</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Gross margin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right"/>
              <w:rPr/>
            </w:pPr>
            <w:r>
              <w:rPr/>
              <w:t>18,396</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4,373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 w:type="dxa"/>
            <w:tcBorders/>
            <w:shd w:fill="CCEEFF" w:val="clear"/>
            <w:tcMar>
              <w:bottom w:w="0" w:type="dxa"/>
            </w:tcMar>
            <w:vAlign w:val="center"/>
          </w:tcPr>
          <w:p>
            <w:pPr>
              <w:pStyle w:val="TableContents"/>
              <w:bidi w:val="0"/>
              <w:spacing w:before="0" w:after="283"/>
              <w:jc w:val="left"/>
              <w:rPr/>
            </w:pPr>
            <w:r>
              <w:rPr/>
              <w:t> </w:t>
            </w:r>
          </w:p>
        </w:tc>
        <w:tc>
          <w:tcPr>
            <w:tcW w:w="152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6"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7" w:type="dxa"/>
            <w:tcBorders/>
            <w:shd w:fill="CCEEFF" w:val="clear"/>
            <w:tcMar>
              <w:bottom w:w="0" w:type="dxa"/>
            </w:tcMar>
            <w:vAlign w:val="center"/>
          </w:tcPr>
          <w:p>
            <w:pPr>
              <w:pStyle w:val="TableContents"/>
              <w:bidi w:val="0"/>
              <w:spacing w:before="0" w:after="283"/>
              <w:jc w:val="left"/>
              <w:rPr/>
            </w:pPr>
            <w:r>
              <w:rPr/>
              <w:t> </w:t>
            </w:r>
          </w:p>
        </w:tc>
        <w:tc>
          <w:tcPr>
            <w:tcW w:w="1213" w:type="dxa"/>
            <w:tcBorders/>
            <w:shd w:fill="CCEEFF" w:val="clear"/>
            <w:tcMar>
              <w:bottom w:w="0" w:type="dxa"/>
            </w:tcMar>
            <w:vAlign w:val="center"/>
          </w:tcPr>
          <w:p>
            <w:pPr>
              <w:pStyle w:val="TableContents"/>
              <w:bidi w:val="0"/>
              <w:spacing w:before="0" w:after="283"/>
              <w:jc w:val="right"/>
              <w:rPr/>
            </w:pPr>
            <w:r>
              <w:rPr/>
              <w:t>22,769</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Gross Margin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759" w:type="dxa"/>
            <w:tcBorders/>
            <w:shd w:fill="FFFFFF" w:val="clear"/>
            <w:tcMar>
              <w:bottom w:w="0" w:type="dxa"/>
            </w:tcMar>
            <w:vAlign w:val="center"/>
          </w:tcPr>
          <w:p>
            <w:pPr>
              <w:pStyle w:val="TableContents"/>
              <w:bidi w:val="0"/>
              <w:spacing w:before="0" w:after="283"/>
              <w:jc w:val="right"/>
              <w:rPr/>
            </w:pPr>
            <w:r>
              <w:rPr/>
              <w:t>29.1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5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6" w:type="dxa"/>
            <w:tcBorders/>
            <w:shd w:fill="FFFFFF" w:val="clear"/>
            <w:tcMar>
              <w:bottom w:w="0" w:type="dxa"/>
            </w:tcMar>
            <w:vAlign w:val="center"/>
          </w:tcPr>
          <w:p>
            <w:pPr>
              <w:pStyle w:val="TableContents"/>
              <w:bidi w:val="0"/>
              <w:spacing w:before="0" w:after="283"/>
              <w:jc w:val="left"/>
              <w:rPr/>
            </w:pPr>
            <w:r>
              <w:rPr/>
              <w:t> </w:t>
            </w:r>
          </w:p>
        </w:tc>
        <w:tc>
          <w:tcPr>
            <w:tcW w:w="15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6"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7" w:type="dxa"/>
            <w:tcBorders/>
            <w:shd w:fill="FFFFFF" w:val="clear"/>
            <w:tcMar>
              <w:bottom w:w="0" w:type="dxa"/>
            </w:tcMar>
            <w:vAlign w:val="center"/>
          </w:tcPr>
          <w:p>
            <w:pPr>
              <w:pStyle w:val="TableContents"/>
              <w:bidi w:val="0"/>
              <w:spacing w:before="0" w:after="283"/>
              <w:jc w:val="left"/>
              <w:rPr/>
            </w:pPr>
            <w:r>
              <w:rPr/>
              <w:t> </w:t>
            </w:r>
          </w:p>
        </w:tc>
        <w:tc>
          <w:tcPr>
            <w:tcW w:w="1213" w:type="dxa"/>
            <w:tcBorders/>
            <w:shd w:fill="FFFFFF" w:val="clear"/>
            <w:tcMar>
              <w:bottom w:w="0" w:type="dxa"/>
            </w:tcMar>
            <w:vAlign w:val="center"/>
          </w:tcPr>
          <w:p>
            <w:pPr>
              <w:pStyle w:val="TableContents"/>
              <w:bidi w:val="0"/>
              <w:spacing w:before="0" w:after="283"/>
              <w:jc w:val="right"/>
              <w:rPr/>
            </w:pPr>
            <w:r>
              <w:rPr/>
              <w:t>36.0</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55" w:type="dxa"/>
            <w:tcBorders/>
            <w:shd w:fill="CCEEFF" w:val="clear"/>
            <w:tcMar>
              <w:bottom w:w="0" w:type="dxa"/>
            </w:tcMar>
            <w:vAlign w:val="center"/>
          </w:tcPr>
          <w:p>
            <w:pPr>
              <w:pStyle w:val="TableContents"/>
              <w:bidi w:val="0"/>
              <w:spacing w:before="0" w:after="283"/>
              <w:jc w:val="left"/>
              <w:rPr/>
            </w:pPr>
            <w:r>
              <w:rPr/>
              <w:t>Selling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right"/>
              <w:rPr/>
            </w:pPr>
            <w:r>
              <w:rPr/>
              <w:t>15,403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(446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(164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 w:type="dxa"/>
            <w:tcBorders/>
            <w:shd w:fill="CCEEFF" w:val="clear"/>
            <w:tcMar>
              <w:bottom w:w="0" w:type="dxa"/>
            </w:tcMar>
            <w:vAlign w:val="center"/>
          </w:tcPr>
          <w:p>
            <w:pPr>
              <w:pStyle w:val="TableContents"/>
              <w:bidi w:val="0"/>
              <w:spacing w:before="0" w:after="283"/>
              <w:jc w:val="left"/>
              <w:rPr/>
            </w:pPr>
            <w:r>
              <w:rPr/>
              <w:t> </w:t>
            </w:r>
          </w:p>
        </w:tc>
        <w:tc>
          <w:tcPr>
            <w:tcW w:w="1524" w:type="dxa"/>
            <w:tcBorders/>
            <w:shd w:fill="CCEEFF" w:val="clear"/>
            <w:tcMar>
              <w:bottom w:w="0" w:type="dxa"/>
            </w:tcMar>
            <w:vAlign w:val="center"/>
          </w:tcPr>
          <w:p>
            <w:pPr>
              <w:pStyle w:val="TableContents"/>
              <w:bidi w:val="0"/>
              <w:spacing w:before="0" w:after="283"/>
              <w:jc w:val="right"/>
              <w:rPr/>
            </w:pPr>
            <w:r>
              <w:rPr/>
              <w:t>(355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6"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(356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7" w:type="dxa"/>
            <w:tcBorders/>
            <w:shd w:fill="CCEEFF" w:val="clear"/>
            <w:tcMar>
              <w:bottom w:w="0" w:type="dxa"/>
            </w:tcMar>
            <w:vAlign w:val="center"/>
          </w:tcPr>
          <w:p>
            <w:pPr>
              <w:pStyle w:val="TableContents"/>
              <w:bidi w:val="0"/>
              <w:spacing w:before="0" w:after="283"/>
              <w:jc w:val="left"/>
              <w:rPr/>
            </w:pPr>
            <w:r>
              <w:rPr/>
              <w:t> </w:t>
            </w:r>
          </w:p>
        </w:tc>
        <w:tc>
          <w:tcPr>
            <w:tcW w:w="1213" w:type="dxa"/>
            <w:tcBorders/>
            <w:shd w:fill="CCEEFF" w:val="clear"/>
            <w:tcMar>
              <w:bottom w:w="0" w:type="dxa"/>
            </w:tcMar>
            <w:vAlign w:val="center"/>
          </w:tcPr>
          <w:p>
            <w:pPr>
              <w:pStyle w:val="TableContents"/>
              <w:bidi w:val="0"/>
              <w:spacing w:before="0" w:after="283"/>
              <w:jc w:val="right"/>
              <w:rPr/>
            </w:pPr>
            <w:r>
              <w:rPr/>
              <w:t>14,082</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bottom w:val="single" w:sz="8" w:space="0" w:color="000000"/>
            </w:tcBorders>
            <w:shd w:fill="FFFFFF" w:val="clear"/>
            <w:vAlign w:val="center"/>
          </w:tcPr>
          <w:p>
            <w:pPr>
              <w:pStyle w:val="TableContents"/>
              <w:bidi w:val="0"/>
              <w:spacing w:before="0" w:after="283"/>
              <w:jc w:val="left"/>
              <w:rPr/>
            </w:pPr>
            <w:r>
              <w:rPr/>
              <w:t> </w:t>
            </w:r>
          </w:p>
        </w:tc>
        <w:tc>
          <w:tcPr>
            <w:tcW w:w="759" w:type="dxa"/>
            <w:tcBorders>
              <w:bottom w:val="single" w:sz="8" w:space="0" w:color="000000"/>
            </w:tcBorders>
            <w:shd w:fill="FFFFFF" w:val="clear"/>
            <w:vAlign w:val="center"/>
          </w:tcPr>
          <w:p>
            <w:pPr>
              <w:pStyle w:val="TableContents"/>
              <w:bidi w:val="0"/>
              <w:spacing w:before="0" w:after="283"/>
              <w:jc w:val="right"/>
              <w:rPr/>
            </w:pPr>
            <w:r>
              <w:rPr/>
              <w:t>5,994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bottom w:val="single" w:sz="8" w:space="0" w:color="000000"/>
            </w:tcBorders>
            <w:shd w:fill="FFFFFF" w:val="clear"/>
            <w:vAlign w:val="center"/>
          </w:tcPr>
          <w:p>
            <w:pPr>
              <w:pStyle w:val="TableContents"/>
              <w:bidi w:val="0"/>
              <w:spacing w:before="0" w:after="283"/>
              <w:jc w:val="left"/>
              <w:rPr/>
            </w:pPr>
            <w:r>
              <w:rPr/>
              <w:t> </w:t>
            </w:r>
          </w:p>
        </w:tc>
        <w:tc>
          <w:tcPr>
            <w:tcW w:w="1184"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bottom w:val="single" w:sz="8" w:space="0" w:color="000000"/>
            </w:tcBorders>
            <w:shd w:fill="FFFFFF" w:val="clear"/>
            <w:vAlign w:val="center"/>
          </w:tcPr>
          <w:p>
            <w:pPr>
              <w:pStyle w:val="TableContents"/>
              <w:bidi w:val="0"/>
              <w:spacing w:before="0" w:after="283"/>
              <w:jc w:val="left"/>
              <w:rPr/>
            </w:pPr>
            <w:r>
              <w:rPr/>
              <w:t> </w:t>
            </w:r>
          </w:p>
        </w:tc>
        <w:tc>
          <w:tcPr>
            <w:tcW w:w="594"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6" w:type="dxa"/>
            <w:tcBorders>
              <w:bottom w:val="single" w:sz="8" w:space="0" w:color="000000"/>
            </w:tcBorders>
            <w:shd w:fill="FFFFFF" w:val="clear"/>
            <w:vAlign w:val="center"/>
          </w:tcPr>
          <w:p>
            <w:pPr>
              <w:pStyle w:val="TableContents"/>
              <w:bidi w:val="0"/>
              <w:spacing w:before="0" w:after="283"/>
              <w:jc w:val="left"/>
              <w:rPr/>
            </w:pPr>
            <w:r>
              <w:rPr/>
              <w:t> </w:t>
            </w:r>
          </w:p>
        </w:tc>
        <w:tc>
          <w:tcPr>
            <w:tcW w:w="1524"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6" w:type="dxa"/>
            <w:tcBorders>
              <w:bottom w:val="single" w:sz="8" w:space="0" w:color="000000"/>
            </w:tcBorders>
            <w:shd w:fill="FFFFFF" w:val="clear"/>
            <w:vAlign w:val="center"/>
          </w:tcPr>
          <w:p>
            <w:pPr>
              <w:pStyle w:val="TableContents"/>
              <w:bidi w:val="0"/>
              <w:spacing w:before="0" w:after="283"/>
              <w:jc w:val="left"/>
              <w:rPr/>
            </w:pPr>
            <w:r>
              <w:rPr/>
              <w:t> </w:t>
            </w:r>
          </w:p>
        </w:tc>
        <w:tc>
          <w:tcPr>
            <w:tcW w:w="1234"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7" w:type="dxa"/>
            <w:tcBorders>
              <w:bottom w:val="single" w:sz="8" w:space="0" w:color="000000"/>
            </w:tcBorders>
            <w:shd w:fill="FFFFFF" w:val="clear"/>
            <w:vAlign w:val="center"/>
          </w:tcPr>
          <w:p>
            <w:pPr>
              <w:pStyle w:val="TableContents"/>
              <w:bidi w:val="0"/>
              <w:spacing w:before="0" w:after="283"/>
              <w:jc w:val="left"/>
              <w:rPr/>
            </w:pPr>
            <w:r>
              <w:rPr/>
              <w:t> </w:t>
            </w:r>
          </w:p>
        </w:tc>
        <w:tc>
          <w:tcPr>
            <w:tcW w:w="1213" w:type="dxa"/>
            <w:tcBorders>
              <w:bottom w:val="single" w:sz="8" w:space="0" w:color="000000"/>
            </w:tcBorders>
            <w:shd w:fill="FFFFFF" w:val="clear"/>
            <w:vAlign w:val="center"/>
          </w:tcPr>
          <w:p>
            <w:pPr>
              <w:pStyle w:val="TableContents"/>
              <w:bidi w:val="0"/>
              <w:spacing w:before="0" w:after="283"/>
              <w:jc w:val="right"/>
              <w:rPr/>
            </w:pPr>
            <w:r>
              <w:rPr/>
              <w:t>5,994</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Operating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759" w:type="dxa"/>
            <w:tcBorders/>
            <w:shd w:fill="CCEEFF" w:val="clear"/>
            <w:tcMar>
              <w:bottom w:w="0" w:type="dxa"/>
            </w:tcMar>
            <w:vAlign w:val="center"/>
          </w:tcPr>
          <w:p>
            <w:pPr>
              <w:pStyle w:val="TableContents"/>
              <w:bidi w:val="0"/>
              <w:spacing w:before="0" w:after="283"/>
              <w:jc w:val="right"/>
              <w:rPr/>
            </w:pPr>
            <w:r>
              <w:rPr/>
              <w:t>(3,001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4,819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pPr>
            <w:r>
              <w:rPr/>
              <w:t> </w:t>
            </w:r>
          </w:p>
        </w:tc>
        <w:tc>
          <w:tcPr>
            <w:tcW w:w="594" w:type="dxa"/>
            <w:tcBorders/>
            <w:shd w:fill="CCEEFF" w:val="clear"/>
            <w:tcMar>
              <w:bottom w:w="0" w:type="dxa"/>
            </w:tcMar>
            <w:vAlign w:val="center"/>
          </w:tcPr>
          <w:p>
            <w:pPr>
              <w:pStyle w:val="TableContents"/>
              <w:bidi w:val="0"/>
              <w:spacing w:before="0" w:after="283"/>
              <w:jc w:val="right"/>
              <w:rPr/>
            </w:pPr>
            <w:r>
              <w:rPr/>
              <w:t>164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6" w:type="dxa"/>
            <w:tcBorders/>
            <w:shd w:fill="CCEEFF" w:val="clear"/>
            <w:tcMar>
              <w:bottom w:w="0" w:type="dxa"/>
            </w:tcMar>
            <w:vAlign w:val="center"/>
          </w:tcPr>
          <w:p>
            <w:pPr>
              <w:pStyle w:val="TableContents"/>
              <w:bidi w:val="0"/>
              <w:spacing w:before="0" w:after="283"/>
              <w:jc w:val="left"/>
              <w:rPr/>
            </w:pPr>
            <w:r>
              <w:rPr/>
              <w:t> </w:t>
            </w:r>
          </w:p>
        </w:tc>
        <w:tc>
          <w:tcPr>
            <w:tcW w:w="1524" w:type="dxa"/>
            <w:tcBorders/>
            <w:shd w:fill="CCEEFF" w:val="clear"/>
            <w:tcMar>
              <w:bottom w:w="0" w:type="dxa"/>
            </w:tcMar>
            <w:vAlign w:val="center"/>
          </w:tcPr>
          <w:p>
            <w:pPr>
              <w:pStyle w:val="TableContents"/>
              <w:bidi w:val="0"/>
              <w:spacing w:before="0" w:after="283"/>
              <w:jc w:val="right"/>
              <w:rPr/>
            </w:pPr>
            <w:r>
              <w:rPr/>
              <w:t>355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06" w:type="dxa"/>
            <w:tcBorders/>
            <w:shd w:fill="CCEEFF" w:val="clear"/>
            <w:tcMar>
              <w:bottom w:w="0" w:type="dxa"/>
            </w:tcMar>
            <w:vAlign w:val="center"/>
          </w:tcPr>
          <w:p>
            <w:pPr>
              <w:pStyle w:val="TableContents"/>
              <w:bidi w:val="0"/>
              <w:spacing w:before="0" w:after="283"/>
              <w:jc w:val="left"/>
              <w:rPr/>
            </w:pPr>
            <w:r>
              <w:rPr/>
              <w:t> </w:t>
            </w:r>
          </w:p>
        </w:tc>
        <w:tc>
          <w:tcPr>
            <w:tcW w:w="1234" w:type="dxa"/>
            <w:tcBorders/>
            <w:shd w:fill="CCEEFF" w:val="clear"/>
            <w:tcMar>
              <w:bottom w:w="0" w:type="dxa"/>
            </w:tcMar>
            <w:vAlign w:val="center"/>
          </w:tcPr>
          <w:p>
            <w:pPr>
              <w:pStyle w:val="TableContents"/>
              <w:bidi w:val="0"/>
              <w:spacing w:before="0" w:after="283"/>
              <w:jc w:val="right"/>
              <w:rPr/>
            </w:pPr>
            <w:r>
              <w:rPr/>
              <w:t>356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7" w:type="dxa"/>
            <w:tcBorders/>
            <w:shd w:fill="CCEEFF" w:val="clear"/>
            <w:tcMar>
              <w:bottom w:w="0" w:type="dxa"/>
            </w:tcMar>
            <w:vAlign w:val="center"/>
          </w:tcPr>
          <w:p>
            <w:pPr>
              <w:pStyle w:val="TableContents"/>
              <w:bidi w:val="0"/>
              <w:spacing w:before="0" w:after="283"/>
              <w:jc w:val="left"/>
              <w:rPr/>
            </w:pPr>
            <w:r>
              <w:rPr/>
              <w:t> </w:t>
            </w:r>
          </w:p>
        </w:tc>
        <w:tc>
          <w:tcPr>
            <w:tcW w:w="1213" w:type="dxa"/>
            <w:tcBorders/>
            <w:shd w:fill="CCEEFF" w:val="clear"/>
            <w:tcMar>
              <w:bottom w:w="0" w:type="dxa"/>
            </w:tcMar>
            <w:vAlign w:val="center"/>
          </w:tcPr>
          <w:p>
            <w:pPr>
              <w:pStyle w:val="TableContents"/>
              <w:bidi w:val="0"/>
              <w:spacing w:before="0" w:after="283"/>
              <w:jc w:val="right"/>
              <w:rPr/>
            </w:pPr>
            <w:r>
              <w:rPr/>
              <w:t>2,693</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Operating (loss) income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759" w:type="dxa"/>
            <w:tcBorders/>
            <w:shd w:fill="FFFFFF" w:val="clear"/>
            <w:tcMar>
              <w:bottom w:w="0" w:type="dxa"/>
            </w:tcMar>
            <w:vAlign w:val="center"/>
          </w:tcPr>
          <w:p>
            <w:pPr>
              <w:pStyle w:val="TableContents"/>
              <w:bidi w:val="0"/>
              <w:spacing w:before="0" w:after="283"/>
              <w:jc w:val="right"/>
              <w:rPr/>
            </w:pPr>
            <w:r>
              <w:rPr/>
              <w:t>-4.7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jc w:val="left"/>
              <w:rPr/>
            </w:pPr>
            <w:r>
              <w:rPr/>
              <w:t> </w:t>
            </w:r>
          </w:p>
        </w:tc>
        <w:tc>
          <w:tcPr>
            <w:tcW w:w="59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6" w:type="dxa"/>
            <w:tcBorders/>
            <w:shd w:fill="FFFFFF" w:val="clear"/>
            <w:tcMar>
              <w:bottom w:w="0" w:type="dxa"/>
            </w:tcMar>
            <w:vAlign w:val="center"/>
          </w:tcPr>
          <w:p>
            <w:pPr>
              <w:pStyle w:val="TableContents"/>
              <w:bidi w:val="0"/>
              <w:spacing w:before="0" w:after="283"/>
              <w:jc w:val="left"/>
              <w:rPr/>
            </w:pPr>
            <w:r>
              <w:rPr/>
              <w:t> </w:t>
            </w:r>
          </w:p>
        </w:tc>
        <w:tc>
          <w:tcPr>
            <w:tcW w:w="152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06" w:type="dxa"/>
            <w:tcBorders/>
            <w:shd w:fill="FFFFFF" w:val="clear"/>
            <w:tcMar>
              <w:bottom w:w="0" w:type="dxa"/>
            </w:tcMar>
            <w:vAlign w:val="center"/>
          </w:tcPr>
          <w:p>
            <w:pPr>
              <w:pStyle w:val="TableContents"/>
              <w:bidi w:val="0"/>
              <w:spacing w:before="0" w:after="283"/>
              <w:jc w:val="left"/>
              <w:rPr/>
            </w:pPr>
            <w:r>
              <w:rPr/>
              <w:t> </w:t>
            </w:r>
          </w:p>
        </w:tc>
        <w:tc>
          <w:tcPr>
            <w:tcW w:w="123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7" w:type="dxa"/>
            <w:tcBorders/>
            <w:shd w:fill="FFFFFF" w:val="clear"/>
            <w:tcMar>
              <w:bottom w:w="0" w:type="dxa"/>
            </w:tcMar>
            <w:vAlign w:val="center"/>
          </w:tcPr>
          <w:p>
            <w:pPr>
              <w:pStyle w:val="TableContents"/>
              <w:bidi w:val="0"/>
              <w:spacing w:before="0" w:after="283"/>
              <w:jc w:val="left"/>
              <w:rPr/>
            </w:pPr>
            <w:r>
              <w:rPr/>
              <w:t> </w:t>
            </w:r>
          </w:p>
        </w:tc>
        <w:tc>
          <w:tcPr>
            <w:tcW w:w="1213" w:type="dxa"/>
            <w:tcBorders/>
            <w:shd w:fill="FFFFFF" w:val="clear"/>
            <w:tcMar>
              <w:bottom w:w="0" w:type="dxa"/>
            </w:tcMar>
            <w:vAlign w:val="center"/>
          </w:tcPr>
          <w:p>
            <w:pPr>
              <w:pStyle w:val="TableContents"/>
              <w:bidi w:val="0"/>
              <w:spacing w:before="0" w:after="283"/>
              <w:jc w:val="right"/>
              <w:rPr/>
            </w:pPr>
            <w:r>
              <w:rPr/>
              <w:t>4.3</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center"/>
        <w:rPr>
          <w:caps w:val="false"/>
          <w:smallCaps w:val="false"/>
        </w:rPr>
      </w:pPr>
      <w:r>
        <w:rPr>
          <w:caps w:val="false"/>
          <w:smallCaps w:val="false"/>
        </w:rPr>
        <w:t> </w:t>
      </w:r>
    </w:p>
    <w:tbl>
      <w:tblPr>
        <w:tblW w:w="10820" w:type="dxa"/>
        <w:jc w:val="left"/>
        <w:tblInd w:w="0" w:type="dxa"/>
        <w:tblLayout w:type="fixed"/>
        <w:tblCellMar>
          <w:top w:w="0" w:type="dxa"/>
          <w:left w:w="0" w:type="dxa"/>
          <w:bottom w:w="28" w:type="dxa"/>
          <w:right w:w="0" w:type="dxa"/>
        </w:tblCellMar>
      </w:tblPr>
      <w:tblGrid>
        <w:gridCol w:w="1355"/>
        <w:gridCol w:w="60"/>
        <w:gridCol w:w="259"/>
        <w:gridCol w:w="721"/>
        <w:gridCol w:w="215"/>
        <w:gridCol w:w="60"/>
        <w:gridCol w:w="261"/>
        <w:gridCol w:w="1184"/>
        <w:gridCol w:w="95"/>
        <w:gridCol w:w="60"/>
        <w:gridCol w:w="259"/>
        <w:gridCol w:w="556"/>
        <w:gridCol w:w="95"/>
        <w:gridCol w:w="60"/>
        <w:gridCol w:w="328"/>
        <w:gridCol w:w="1492"/>
        <w:gridCol w:w="95"/>
        <w:gridCol w:w="60"/>
        <w:gridCol w:w="303"/>
        <w:gridCol w:w="1337"/>
        <w:gridCol w:w="95"/>
        <w:gridCol w:w="60"/>
        <w:gridCol w:w="430"/>
        <w:gridCol w:w="1150"/>
        <w:gridCol w:w="230"/>
      </w:tblGrid>
      <w:tr>
        <w:trPr/>
        <w:tc>
          <w:tcPr>
            <w:tcW w:w="10820" w:type="dxa"/>
            <w:gridSpan w:val="25"/>
            <w:tcBorders>
              <w:bottom w:val="single" w:sz="8" w:space="0" w:color="000000"/>
            </w:tcBorders>
            <w:vAlign w:val="center"/>
          </w:tcPr>
          <w:p>
            <w:pPr>
              <w:pStyle w:val="TableContents"/>
              <w:bidi w:val="0"/>
              <w:spacing w:before="0" w:after="283"/>
              <w:ind w:left="0" w:right="0" w:hanging="180"/>
              <w:jc w:val="left"/>
              <w:rPr>
                <w:b/>
              </w:rPr>
            </w:pPr>
            <w:r>
              <w:rPr>
                <w:b/>
              </w:rPr>
              <w:t>Reconciliation of Reported to Adjusted for Non-Recurring &amp; Future Investment (Non-GAAP) for the Twelve Months Ended April 30, 2026 (unaudited)</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tcMar>
              <w:bottom w:w="0" w:type="dxa"/>
            </w:tcMar>
            <w:vAlign w:val="center"/>
          </w:tcPr>
          <w:p>
            <w:pPr>
              <w:pStyle w:val="TableContents"/>
              <w:bidi w:val="0"/>
              <w:spacing w:before="0" w:after="283"/>
              <w:jc w:val="center"/>
              <w:rPr>
                <w:b/>
              </w:rPr>
            </w:pPr>
            <w:r>
              <w:rPr>
                <w:b/>
              </w:rPr>
              <w:t>Business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center"/>
              <w:rPr>
                <w:b/>
              </w:rPr>
            </w:pPr>
            <w:r>
              <w:rPr>
                <w:b/>
              </w:rPr>
              <w:t>Adjusted for</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center"/>
              <w:rPr>
                <w:b/>
              </w:rPr>
            </w:pPr>
            <w:r>
              <w:rPr>
                <w:b/>
              </w:rPr>
              <w:t>One Time</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lef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tcMar>
              <w:bottom w:w="0" w:type="dxa"/>
            </w:tcMar>
            <w:vAlign w:val="center"/>
          </w:tcPr>
          <w:p>
            <w:pPr>
              <w:pStyle w:val="TableContents"/>
              <w:bidi w:val="0"/>
              <w:spacing w:before="0" w:after="283"/>
              <w:jc w:val="center"/>
              <w:rPr>
                <w:b/>
              </w:rPr>
            </w:pPr>
            <w:r>
              <w:rPr>
                <w:b/>
              </w:rPr>
              <w:t>Transformational</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tcMar>
              <w:bottom w:w="0" w:type="dxa"/>
            </w:tcMar>
            <w:vAlign w:val="center"/>
          </w:tcPr>
          <w:p>
            <w:pPr>
              <w:pStyle w:val="TableContents"/>
              <w:bidi w:val="0"/>
              <w:spacing w:before="0" w:after="283"/>
              <w:jc w:val="center"/>
              <w:rPr>
                <w:b/>
              </w:rPr>
            </w:pPr>
            <w:r>
              <w:rPr>
                <w:b/>
              </w:rPr>
              <w:t>Improvement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center"/>
              <w:rPr>
                <w:b/>
              </w:rPr>
            </w:pPr>
            <w:r>
              <w:rPr>
                <w:b/>
              </w:rPr>
              <w:t>Non-Recurring</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tcMar>
              <w:bottom w:w="0" w:type="dxa"/>
            </w:tcMar>
            <w:vAlign w:val="center"/>
          </w:tcPr>
          <w:p>
            <w:pPr>
              <w:pStyle w:val="TableContents"/>
              <w:bidi w:val="0"/>
              <w:spacing w:before="0" w:after="283"/>
              <w:jc w:val="left"/>
              <w:rPr/>
            </w:pPr>
            <w:r>
              <w:rPr/>
              <w:t> </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tcMar>
              <w:bottom w:w="0" w:type="dxa"/>
            </w:tcMar>
            <w:vAlign w:val="center"/>
          </w:tcPr>
          <w:p>
            <w:pPr>
              <w:pStyle w:val="TableContents"/>
              <w:bidi w:val="0"/>
              <w:spacing w:before="0" w:after="283"/>
              <w:jc w:val="center"/>
              <w:rPr>
                <w:b/>
              </w:rPr>
            </w:pPr>
            <w:r>
              <w:rPr>
                <w:b/>
              </w:rPr>
              <w:t>Restructuring</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tcMar>
              <w:bottom w:w="0" w:type="dxa"/>
            </w:tcMar>
            <w:vAlign w:val="center"/>
          </w:tcPr>
          <w:p>
            <w:pPr>
              <w:pStyle w:val="TableContents"/>
              <w:bidi w:val="0"/>
              <w:spacing w:before="0" w:after="283"/>
              <w:jc w:val="center"/>
              <w:rPr>
                <w:b/>
              </w:rPr>
            </w:pPr>
            <w:r>
              <w:rPr>
                <w:b/>
              </w:rPr>
              <w:t>Change in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tcMar>
              <w:bottom w:w="0" w:type="dxa"/>
            </w:tcMar>
            <w:vAlign w:val="center"/>
          </w:tcPr>
          <w:p>
            <w:pPr>
              <w:pStyle w:val="TableContents"/>
              <w:bidi w:val="0"/>
              <w:spacing w:before="0" w:after="283"/>
              <w:jc w:val="center"/>
              <w:rPr>
                <w:b/>
              </w:rPr>
            </w:pPr>
            <w:r>
              <w:rPr>
                <w:b/>
              </w:rPr>
              <w:t>Employment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tcMar>
              <w:bottom w:w="0" w:type="dxa"/>
            </w:tcMar>
            <w:vAlign w:val="center"/>
          </w:tcPr>
          <w:p>
            <w:pPr>
              <w:pStyle w:val="TableContents"/>
              <w:bidi w:val="0"/>
              <w:spacing w:before="0" w:after="283"/>
              <w:jc w:val="center"/>
              <w:rPr>
                <w:b/>
              </w:rPr>
            </w:pPr>
            <w:r>
              <w:rPr>
                <w:b/>
              </w:rPr>
              <w:t>Transformation</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tcMar>
              <w:bottom w:w="0" w:type="dxa"/>
            </w:tcMar>
            <w:vAlign w:val="center"/>
          </w:tcPr>
          <w:p>
            <w:pPr>
              <w:pStyle w:val="TableContents"/>
              <w:bidi w:val="0"/>
              <w:spacing w:before="0" w:after="283"/>
              <w:jc w:val="center"/>
              <w:rPr>
                <w:b/>
              </w:rPr>
            </w:pPr>
            <w:r>
              <w:rPr>
                <w:b/>
              </w:rPr>
              <w:t>&amp; Future</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80" w:type="dxa"/>
            <w:gridSpan w:val="2"/>
            <w:tcBorders>
              <w:bottom w:val="single" w:sz="8" w:space="0" w:color="000000"/>
            </w:tcBorders>
            <w:vAlign w:val="center"/>
          </w:tcPr>
          <w:p>
            <w:pPr>
              <w:pStyle w:val="TableContents"/>
              <w:bidi w:val="0"/>
              <w:spacing w:before="0" w:after="283"/>
              <w:jc w:val="center"/>
              <w:rPr>
                <w:b/>
              </w:rPr>
            </w:pPr>
            <w:r>
              <w:rPr>
                <w:b/>
              </w:rPr>
              <w:t>Reported</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5" w:type="dxa"/>
            <w:gridSpan w:val="2"/>
            <w:tcBorders>
              <w:bottom w:val="single" w:sz="8" w:space="0" w:color="000000"/>
            </w:tcBorders>
            <w:vAlign w:val="center"/>
          </w:tcPr>
          <w:p>
            <w:pPr>
              <w:pStyle w:val="TableContents"/>
              <w:bidi w:val="0"/>
              <w:spacing w:before="0" w:after="283"/>
              <w:jc w:val="center"/>
              <w:rPr>
                <w:b/>
              </w:rPr>
            </w:pPr>
            <w:r>
              <w:rPr>
                <w:b/>
              </w:rPr>
              <w:t>Cost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PTO Policy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820" w:type="dxa"/>
            <w:gridSpan w:val="2"/>
            <w:tcBorders>
              <w:bottom w:val="single" w:sz="8" w:space="0" w:color="000000"/>
            </w:tcBorders>
            <w:vAlign w:val="center"/>
          </w:tcPr>
          <w:p>
            <w:pPr>
              <w:pStyle w:val="TableContents"/>
              <w:bidi w:val="0"/>
              <w:spacing w:before="0" w:after="283"/>
              <w:jc w:val="center"/>
              <w:rPr>
                <w:b/>
              </w:rPr>
            </w:pPr>
            <w:r>
              <w:rPr>
                <w:b/>
              </w:rPr>
              <w:t>Costs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283"/>
              <w:jc w:val="center"/>
              <w:rPr>
                <w:b/>
              </w:rPr>
            </w:pPr>
            <w:r>
              <w:rPr>
                <w:b/>
              </w:rPr>
              <w:t>Costs</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80" w:type="dxa"/>
            <w:gridSpan w:val="2"/>
            <w:tcBorders>
              <w:bottom w:val="single" w:sz="8" w:space="0" w:color="000000"/>
            </w:tcBorders>
            <w:vAlign w:val="center"/>
          </w:tcPr>
          <w:p>
            <w:pPr>
              <w:pStyle w:val="TableContents"/>
              <w:bidi w:val="0"/>
              <w:spacing w:before="0" w:after="283"/>
              <w:jc w:val="center"/>
              <w:rPr>
                <w:b/>
              </w:rPr>
            </w:pPr>
            <w:r>
              <w:rPr>
                <w:b/>
              </w:rPr>
              <w:t>Investment</w:t>
            </w:r>
          </w:p>
        </w:tc>
        <w:tc>
          <w:tcPr>
            <w:tcW w:w="230" w:type="dxa"/>
            <w:tcBorders/>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Revenues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721" w:type="dxa"/>
            <w:tcBorders/>
            <w:shd w:fill="CCEEFF" w:val="clear"/>
            <w:tcMar>
              <w:bottom w:w="0" w:type="dxa"/>
            </w:tcMar>
            <w:vAlign w:val="center"/>
          </w:tcPr>
          <w:p>
            <w:pPr>
              <w:pStyle w:val="TableContents"/>
              <w:bidi w:val="0"/>
              <w:spacing w:before="0" w:after="283"/>
              <w:jc w:val="right"/>
              <w:rPr/>
            </w:pPr>
            <w:r>
              <w:rPr/>
              <w:t>63,227</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w:t>
            </w:r>
          </w:p>
        </w:tc>
        <w:tc>
          <w:tcPr>
            <w:tcW w:w="1184"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w:t>
            </w:r>
          </w:p>
        </w:tc>
        <w:tc>
          <w:tcPr>
            <w:tcW w:w="55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w:t>
            </w:r>
          </w:p>
        </w:tc>
        <w:tc>
          <w:tcPr>
            <w:tcW w:w="1492"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jc w:val="left"/>
              <w:rPr/>
            </w:pPr>
            <w:r>
              <w:rPr/>
              <w:t>$</w:t>
            </w:r>
          </w:p>
        </w:tc>
        <w:tc>
          <w:tcPr>
            <w:tcW w:w="1337"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0" w:type="dxa"/>
            <w:tcBorders/>
            <w:shd w:fill="CCEEFF" w:val="clear"/>
            <w:tcMar>
              <w:bottom w:w="0" w:type="dxa"/>
            </w:tcMar>
            <w:vAlign w:val="center"/>
          </w:tcPr>
          <w:p>
            <w:pPr>
              <w:pStyle w:val="TableContents"/>
              <w:bidi w:val="0"/>
              <w:spacing w:before="0" w:after="283"/>
              <w:jc w:val="left"/>
              <w:rPr/>
            </w:pPr>
            <w:r>
              <w:rPr/>
              <w:t>$</w:t>
            </w:r>
          </w:p>
        </w:tc>
        <w:tc>
          <w:tcPr>
            <w:tcW w:w="1150" w:type="dxa"/>
            <w:tcBorders/>
            <w:shd w:fill="CCEEFF" w:val="clear"/>
            <w:tcMar>
              <w:bottom w:w="0" w:type="dxa"/>
            </w:tcMar>
            <w:vAlign w:val="center"/>
          </w:tcPr>
          <w:p>
            <w:pPr>
              <w:pStyle w:val="TableContents"/>
              <w:bidi w:val="0"/>
              <w:spacing w:before="0" w:after="283"/>
              <w:jc w:val="right"/>
              <w:rPr/>
            </w:pPr>
            <w:r>
              <w:rPr/>
              <w:t>63,227</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Cost of revenues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FFFFFF" w:val="clear"/>
            <w:vAlign w:val="center"/>
          </w:tcPr>
          <w:p>
            <w:pPr>
              <w:pStyle w:val="TableContents"/>
              <w:bidi w:val="0"/>
              <w:spacing w:before="0" w:after="283"/>
              <w:jc w:val="left"/>
              <w:rPr/>
            </w:pPr>
            <w:r>
              <w:rPr/>
              <w:t> </w:t>
            </w:r>
          </w:p>
        </w:tc>
        <w:tc>
          <w:tcPr>
            <w:tcW w:w="721" w:type="dxa"/>
            <w:tcBorders>
              <w:bottom w:val="single" w:sz="8" w:space="0" w:color="000000"/>
            </w:tcBorders>
            <w:shd w:fill="FFFFFF" w:val="clear"/>
            <w:vAlign w:val="center"/>
          </w:tcPr>
          <w:p>
            <w:pPr>
              <w:pStyle w:val="TableContents"/>
              <w:bidi w:val="0"/>
              <w:spacing w:before="0" w:after="283"/>
              <w:jc w:val="right"/>
              <w:rPr/>
            </w:pPr>
            <w:r>
              <w:rPr/>
              <w:t>44,831</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bottom w:val="single" w:sz="8" w:space="0" w:color="000000"/>
            </w:tcBorders>
            <w:shd w:fill="FFFFFF" w:val="clear"/>
            <w:vAlign w:val="center"/>
          </w:tcPr>
          <w:p>
            <w:pPr>
              <w:pStyle w:val="TableContents"/>
              <w:bidi w:val="0"/>
              <w:spacing w:before="0" w:after="283"/>
              <w:jc w:val="left"/>
              <w:rPr/>
            </w:pPr>
            <w:r>
              <w:rPr/>
              <w:t> </w:t>
            </w:r>
          </w:p>
        </w:tc>
        <w:tc>
          <w:tcPr>
            <w:tcW w:w="1184" w:type="dxa"/>
            <w:tcBorders>
              <w:bottom w:val="single" w:sz="8" w:space="0" w:color="000000"/>
            </w:tcBorders>
            <w:shd w:fill="FFFFFF" w:val="clear"/>
            <w:vAlign w:val="center"/>
          </w:tcPr>
          <w:p>
            <w:pPr>
              <w:pStyle w:val="TableContents"/>
              <w:bidi w:val="0"/>
              <w:spacing w:before="0" w:after="283"/>
              <w:jc w:val="right"/>
              <w:rPr/>
            </w:pPr>
            <w:r>
              <w:rPr/>
              <w:t>(4,373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FFFFFF" w:val="clear"/>
            <w:vAlign w:val="center"/>
          </w:tcPr>
          <w:p>
            <w:pPr>
              <w:pStyle w:val="TableContents"/>
              <w:bidi w:val="0"/>
              <w:spacing w:before="0" w:after="283"/>
              <w:jc w:val="left"/>
              <w:rPr/>
            </w:pPr>
            <w:r>
              <w:rPr/>
              <w:t> </w:t>
            </w:r>
          </w:p>
        </w:tc>
        <w:tc>
          <w:tcPr>
            <w:tcW w:w="556"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bottom w:val="single" w:sz="8" w:space="0" w:color="000000"/>
            </w:tcBorders>
            <w:shd w:fill="FFFFFF" w:val="clear"/>
            <w:vAlign w:val="center"/>
          </w:tcPr>
          <w:p>
            <w:pPr>
              <w:pStyle w:val="TableContents"/>
              <w:bidi w:val="0"/>
              <w:spacing w:before="0" w:after="283"/>
              <w:jc w:val="left"/>
              <w:rPr/>
            </w:pPr>
            <w:r>
              <w:rPr/>
              <w:t> </w:t>
            </w:r>
          </w:p>
        </w:tc>
        <w:tc>
          <w:tcPr>
            <w:tcW w:w="1492" w:type="dxa"/>
            <w:tcBorders>
              <w:bottom w:val="single" w:sz="8" w:space="0" w:color="000000"/>
            </w:tcBorders>
            <w:shd w:fill="FFFFFF" w:val="clear"/>
            <w:vAlign w:val="center"/>
          </w:tcPr>
          <w:p>
            <w:pPr>
              <w:pStyle w:val="TableContents"/>
              <w:bidi w:val="0"/>
              <w:spacing w:before="0" w:after="283"/>
              <w:jc w:val="right"/>
              <w:rPr/>
            </w:pPr>
            <w:r>
              <w:rPr/>
              <w:t>(2,155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 w:type="dxa"/>
            <w:tcBorders>
              <w:bottom w:val="single" w:sz="8" w:space="0" w:color="000000"/>
            </w:tcBorders>
            <w:shd w:fill="FFFFFF" w:val="clear"/>
            <w:vAlign w:val="center"/>
          </w:tcPr>
          <w:p>
            <w:pPr>
              <w:pStyle w:val="TableContents"/>
              <w:bidi w:val="0"/>
              <w:spacing w:before="0" w:after="283"/>
              <w:jc w:val="left"/>
              <w:rPr/>
            </w:pPr>
            <w:r>
              <w:rPr/>
              <w:t> </w:t>
            </w:r>
          </w:p>
        </w:tc>
        <w:tc>
          <w:tcPr>
            <w:tcW w:w="1337" w:type="dxa"/>
            <w:tcBorders>
              <w:bottom w:val="single" w:sz="8" w:space="0" w:color="000000"/>
            </w:tcBorders>
            <w:shd w:fill="FFFFFF" w:val="clear"/>
            <w:vAlign w:val="center"/>
          </w:tcPr>
          <w:p>
            <w:pPr>
              <w:pStyle w:val="TableContents"/>
              <w:bidi w:val="0"/>
              <w:spacing w:before="0" w:after="283"/>
              <w:jc w:val="right"/>
              <w:rPr/>
            </w:pPr>
            <w:r>
              <w:rPr/>
              <w:t>(1,156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vAlign w:val="center"/>
          </w:tcPr>
          <w:p>
            <w:pPr>
              <w:pStyle w:val="TableContents"/>
              <w:bidi w:val="0"/>
              <w:spacing w:before="0" w:after="283"/>
              <w:jc w:val="left"/>
              <w:rPr/>
            </w:pPr>
            <w:r>
              <w:rPr/>
              <w:t> </w:t>
            </w:r>
          </w:p>
        </w:tc>
        <w:tc>
          <w:tcPr>
            <w:tcW w:w="1150" w:type="dxa"/>
            <w:tcBorders>
              <w:bottom w:val="single" w:sz="8" w:space="0" w:color="000000"/>
            </w:tcBorders>
            <w:shd w:fill="FFFFFF" w:val="clear"/>
            <w:vAlign w:val="center"/>
          </w:tcPr>
          <w:p>
            <w:pPr>
              <w:pStyle w:val="TableContents"/>
              <w:bidi w:val="0"/>
              <w:spacing w:before="0" w:after="283"/>
              <w:jc w:val="right"/>
              <w:rPr/>
            </w:pPr>
            <w:r>
              <w:rPr/>
              <w:t>37,147</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Gross margin</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18,396</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4,373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556"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2,155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jc w:val="left"/>
              <w:rPr/>
            </w:pPr>
            <w:r>
              <w:rPr/>
              <w:t> </w:t>
            </w:r>
          </w:p>
        </w:tc>
        <w:tc>
          <w:tcPr>
            <w:tcW w:w="1337" w:type="dxa"/>
            <w:tcBorders/>
            <w:shd w:fill="CCEEFF" w:val="clear"/>
            <w:tcMar>
              <w:bottom w:w="0" w:type="dxa"/>
            </w:tcMar>
            <w:vAlign w:val="center"/>
          </w:tcPr>
          <w:p>
            <w:pPr>
              <w:pStyle w:val="TableContents"/>
              <w:bidi w:val="0"/>
              <w:spacing w:before="0" w:after="283"/>
              <w:jc w:val="right"/>
              <w:rPr/>
            </w:pPr>
            <w:r>
              <w:rPr/>
              <w:t>1,156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26,080</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Gross Margin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29.1</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55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 w:type="dxa"/>
            <w:tcBorders/>
            <w:shd w:fill="FFFFFF" w:val="clear"/>
            <w:tcMar>
              <w:bottom w:w="0" w:type="dxa"/>
            </w:tcMar>
            <w:vAlign w:val="center"/>
          </w:tcPr>
          <w:p>
            <w:pPr>
              <w:pStyle w:val="TableContents"/>
              <w:bidi w:val="0"/>
              <w:spacing w:before="0" w:after="283"/>
              <w:jc w:val="left"/>
              <w:rPr/>
            </w:pPr>
            <w:r>
              <w:rPr/>
              <w:t> </w:t>
            </w:r>
          </w:p>
        </w:tc>
        <w:tc>
          <w:tcPr>
            <w:tcW w:w="133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41.2</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w:t>
            </w:r>
          </w:p>
        </w:tc>
      </w:tr>
      <w:tr>
        <w:trPr/>
        <w:tc>
          <w:tcPr>
            <w:tcW w:w="1355" w:type="dxa"/>
            <w:tcBorders/>
            <w:shd w:fill="CCEEFF" w:val="clear"/>
            <w:tcMar>
              <w:bottom w:w="0" w:type="dxa"/>
            </w:tcMar>
            <w:vAlign w:val="center"/>
          </w:tcPr>
          <w:p>
            <w:pPr>
              <w:pStyle w:val="TableContents"/>
              <w:bidi w:val="0"/>
              <w:spacing w:before="0" w:after="283"/>
              <w:jc w:val="left"/>
              <w:rPr/>
            </w:pPr>
            <w:r>
              <w:rPr/>
              <w:t>Selling and administrative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15,403</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(446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556" w:type="dxa"/>
            <w:tcBorders/>
            <w:shd w:fill="CCEEFF" w:val="clear"/>
            <w:tcMar>
              <w:bottom w:w="0" w:type="dxa"/>
            </w:tcMar>
            <w:vAlign w:val="center"/>
          </w:tcPr>
          <w:p>
            <w:pPr>
              <w:pStyle w:val="TableContents"/>
              <w:bidi w:val="0"/>
              <w:spacing w:before="0" w:after="283"/>
              <w:jc w:val="right"/>
              <w:rPr/>
            </w:pPr>
            <w:r>
              <w:rPr/>
              <w:t>(164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(355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jc w:val="left"/>
              <w:rPr/>
            </w:pPr>
            <w:r>
              <w:rPr/>
              <w:t> </w:t>
            </w:r>
          </w:p>
        </w:tc>
        <w:tc>
          <w:tcPr>
            <w:tcW w:w="1337" w:type="dxa"/>
            <w:tcBorders/>
            <w:shd w:fill="CCEEFF" w:val="clear"/>
            <w:tcMar>
              <w:bottom w:w="0" w:type="dxa"/>
            </w:tcMar>
            <w:vAlign w:val="center"/>
          </w:tcPr>
          <w:p>
            <w:pPr>
              <w:pStyle w:val="TableContents"/>
              <w:bidi w:val="0"/>
              <w:spacing w:before="0" w:after="283"/>
              <w:jc w:val="right"/>
              <w:rPr/>
            </w:pPr>
            <w:r>
              <w:rPr/>
              <w:t>(1,470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12,968</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FFFFFF" w:val="clear"/>
            <w:vAlign w:val="center"/>
          </w:tcPr>
          <w:p>
            <w:pPr>
              <w:pStyle w:val="TableContents"/>
              <w:bidi w:val="0"/>
              <w:spacing w:before="0" w:after="283"/>
              <w:jc w:val="left"/>
              <w:rPr/>
            </w:pPr>
            <w:r>
              <w:rPr/>
              <w:t> </w:t>
            </w:r>
          </w:p>
        </w:tc>
        <w:tc>
          <w:tcPr>
            <w:tcW w:w="721" w:type="dxa"/>
            <w:tcBorders>
              <w:bottom w:val="single" w:sz="8" w:space="0" w:color="000000"/>
            </w:tcBorders>
            <w:shd w:fill="FFFFFF" w:val="clear"/>
            <w:vAlign w:val="center"/>
          </w:tcPr>
          <w:p>
            <w:pPr>
              <w:pStyle w:val="TableContents"/>
              <w:bidi w:val="0"/>
              <w:spacing w:before="0" w:after="283"/>
              <w:jc w:val="right"/>
              <w:rPr/>
            </w:pPr>
            <w:r>
              <w:rPr/>
              <w:t>5,994</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bottom w:val="single" w:sz="8" w:space="0" w:color="000000"/>
            </w:tcBorders>
            <w:shd w:fill="FFFFFF" w:val="clear"/>
            <w:vAlign w:val="center"/>
          </w:tcPr>
          <w:p>
            <w:pPr>
              <w:pStyle w:val="TableContents"/>
              <w:bidi w:val="0"/>
              <w:spacing w:before="0" w:after="283"/>
              <w:jc w:val="left"/>
              <w:rPr/>
            </w:pPr>
            <w:r>
              <w:rPr/>
              <w:t> </w:t>
            </w:r>
          </w:p>
        </w:tc>
        <w:tc>
          <w:tcPr>
            <w:tcW w:w="1184"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bottom w:val="single" w:sz="8" w:space="0" w:color="000000"/>
            </w:tcBorders>
            <w:shd w:fill="FFFFFF" w:val="clear"/>
            <w:vAlign w:val="center"/>
          </w:tcPr>
          <w:p>
            <w:pPr>
              <w:pStyle w:val="TableContents"/>
              <w:bidi w:val="0"/>
              <w:spacing w:before="0" w:after="283"/>
              <w:jc w:val="left"/>
              <w:rPr/>
            </w:pPr>
            <w:r>
              <w:rPr/>
              <w:t> </w:t>
            </w:r>
          </w:p>
        </w:tc>
        <w:tc>
          <w:tcPr>
            <w:tcW w:w="556"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bottom w:val="single" w:sz="8" w:space="0" w:color="000000"/>
            </w:tcBorders>
            <w:shd w:fill="FFFFFF" w:val="clear"/>
            <w:vAlign w:val="center"/>
          </w:tcPr>
          <w:p>
            <w:pPr>
              <w:pStyle w:val="TableContents"/>
              <w:bidi w:val="0"/>
              <w:spacing w:before="0" w:after="283"/>
              <w:jc w:val="left"/>
              <w:rPr/>
            </w:pPr>
            <w:r>
              <w:rPr/>
              <w:t> </w:t>
            </w:r>
          </w:p>
        </w:tc>
        <w:tc>
          <w:tcPr>
            <w:tcW w:w="1492"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 w:type="dxa"/>
            <w:tcBorders>
              <w:bottom w:val="single" w:sz="8" w:space="0" w:color="000000"/>
            </w:tcBorders>
            <w:shd w:fill="FFFFFF" w:val="clear"/>
            <w:vAlign w:val="center"/>
          </w:tcPr>
          <w:p>
            <w:pPr>
              <w:pStyle w:val="TableContents"/>
              <w:bidi w:val="0"/>
              <w:spacing w:before="0" w:after="283"/>
              <w:jc w:val="left"/>
              <w:rPr/>
            </w:pPr>
            <w:r>
              <w:rPr/>
              <w:t> </w:t>
            </w:r>
          </w:p>
        </w:tc>
        <w:tc>
          <w:tcPr>
            <w:tcW w:w="1337" w:type="dxa"/>
            <w:tcBorders>
              <w:bottom w:val="single" w:sz="8" w:space="0" w:color="000000"/>
            </w:tcBorders>
            <w:shd w:fill="FFFFFF" w:val="cle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0" w:type="dxa"/>
            <w:tcBorders>
              <w:bottom w:val="single" w:sz="8" w:space="0" w:color="000000"/>
            </w:tcBorders>
            <w:shd w:fill="FFFFFF" w:val="clear"/>
            <w:vAlign w:val="center"/>
          </w:tcPr>
          <w:p>
            <w:pPr>
              <w:pStyle w:val="TableContents"/>
              <w:bidi w:val="0"/>
              <w:spacing w:before="0" w:after="283"/>
              <w:jc w:val="left"/>
              <w:rPr/>
            </w:pPr>
            <w:r>
              <w:rPr/>
              <w:t> </w:t>
            </w:r>
          </w:p>
        </w:tc>
        <w:tc>
          <w:tcPr>
            <w:tcW w:w="1150" w:type="dxa"/>
            <w:tcBorders>
              <w:bottom w:val="single" w:sz="8" w:space="0" w:color="000000"/>
            </w:tcBorders>
            <w:shd w:fill="FFFFFF" w:val="clear"/>
            <w:vAlign w:val="center"/>
          </w:tcPr>
          <w:p>
            <w:pPr>
              <w:pStyle w:val="TableContents"/>
              <w:bidi w:val="0"/>
              <w:spacing w:before="0" w:after="283"/>
              <w:jc w:val="right"/>
              <w:rPr/>
            </w:pPr>
            <w:r>
              <w:rPr/>
              <w:t>5,994</w:t>
            </w:r>
          </w:p>
        </w:tc>
        <w:tc>
          <w:tcPr>
            <w:tcW w:w="230" w:type="dxa"/>
            <w:tcBorders/>
            <w:shd w:fill="FFFF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CCEEFF" w:val="clear"/>
            <w:tcMar>
              <w:bottom w:w="0" w:type="dxa"/>
            </w:tcMar>
            <w:vAlign w:val="center"/>
          </w:tcPr>
          <w:p>
            <w:pPr>
              <w:pStyle w:val="TableContents"/>
              <w:bidi w:val="0"/>
              <w:spacing w:before="0" w:after="283"/>
              <w:jc w:val="left"/>
              <w:rPr/>
            </w:pPr>
            <w:r>
              <w:rPr/>
              <w:t>Operating (loss) income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721" w:type="dxa"/>
            <w:tcBorders/>
            <w:shd w:fill="CCEEFF" w:val="clear"/>
            <w:tcMar>
              <w:bottom w:w="0" w:type="dxa"/>
            </w:tcMar>
            <w:vAlign w:val="center"/>
          </w:tcPr>
          <w:p>
            <w:pPr>
              <w:pStyle w:val="TableContents"/>
              <w:bidi w:val="0"/>
              <w:spacing w:before="0" w:after="283"/>
              <w:jc w:val="right"/>
              <w:rPr/>
            </w:pPr>
            <w:r>
              <w:rPr/>
              <w:t>(3,001</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184" w:type="dxa"/>
            <w:tcBorders/>
            <w:shd w:fill="CCEEFF" w:val="clear"/>
            <w:tcMar>
              <w:bottom w:w="0" w:type="dxa"/>
            </w:tcMar>
            <w:vAlign w:val="center"/>
          </w:tcPr>
          <w:p>
            <w:pPr>
              <w:pStyle w:val="TableContents"/>
              <w:bidi w:val="0"/>
              <w:spacing w:before="0" w:after="283"/>
              <w:jc w:val="right"/>
              <w:rPr/>
            </w:pPr>
            <w:r>
              <w:rPr/>
              <w:t>4,819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59" w:type="dxa"/>
            <w:tcBorders/>
            <w:shd w:fill="CCEEFF" w:val="clear"/>
            <w:tcMar>
              <w:bottom w:w="0" w:type="dxa"/>
            </w:tcMar>
            <w:vAlign w:val="center"/>
          </w:tcPr>
          <w:p>
            <w:pPr>
              <w:pStyle w:val="TableContents"/>
              <w:bidi w:val="0"/>
              <w:spacing w:before="0" w:after="283"/>
              <w:jc w:val="left"/>
              <w:rPr/>
            </w:pPr>
            <w:r>
              <w:rPr/>
              <w:t> </w:t>
            </w:r>
          </w:p>
        </w:tc>
        <w:tc>
          <w:tcPr>
            <w:tcW w:w="556" w:type="dxa"/>
            <w:tcBorders/>
            <w:shd w:fill="CCEEFF" w:val="clear"/>
            <w:tcMar>
              <w:bottom w:w="0" w:type="dxa"/>
            </w:tcMar>
            <w:vAlign w:val="center"/>
          </w:tcPr>
          <w:p>
            <w:pPr>
              <w:pStyle w:val="TableContents"/>
              <w:bidi w:val="0"/>
              <w:spacing w:before="0" w:after="283"/>
              <w:jc w:val="right"/>
              <w:rPr/>
            </w:pPr>
            <w:r>
              <w:rPr/>
              <w:t>164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 </w:t>
            </w:r>
          </w:p>
        </w:tc>
        <w:tc>
          <w:tcPr>
            <w:tcW w:w="1492" w:type="dxa"/>
            <w:tcBorders/>
            <w:shd w:fill="CCEEFF" w:val="clear"/>
            <w:tcMar>
              <w:bottom w:w="0" w:type="dxa"/>
            </w:tcMar>
            <w:vAlign w:val="center"/>
          </w:tcPr>
          <w:p>
            <w:pPr>
              <w:pStyle w:val="TableContents"/>
              <w:bidi w:val="0"/>
              <w:spacing w:before="0" w:after="283"/>
              <w:jc w:val="right"/>
              <w:rPr/>
            </w:pPr>
            <w:r>
              <w:rPr/>
              <w:t>2,510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3" w:type="dxa"/>
            <w:tcBorders/>
            <w:shd w:fill="CCEEFF" w:val="clear"/>
            <w:tcMar>
              <w:bottom w:w="0" w:type="dxa"/>
            </w:tcMar>
            <w:vAlign w:val="center"/>
          </w:tcPr>
          <w:p>
            <w:pPr>
              <w:pStyle w:val="TableContents"/>
              <w:bidi w:val="0"/>
              <w:spacing w:before="0" w:after="283"/>
              <w:jc w:val="left"/>
              <w:rPr/>
            </w:pPr>
            <w:r>
              <w:rPr/>
              <w:t> </w:t>
            </w:r>
          </w:p>
        </w:tc>
        <w:tc>
          <w:tcPr>
            <w:tcW w:w="1337" w:type="dxa"/>
            <w:tcBorders/>
            <w:shd w:fill="CCEEFF" w:val="clear"/>
            <w:tcMar>
              <w:bottom w:w="0" w:type="dxa"/>
            </w:tcMar>
            <w:vAlign w:val="center"/>
          </w:tcPr>
          <w:p>
            <w:pPr>
              <w:pStyle w:val="TableContents"/>
              <w:bidi w:val="0"/>
              <w:spacing w:before="0" w:after="283"/>
              <w:jc w:val="right"/>
              <w:rPr/>
            </w:pPr>
            <w:r>
              <w:rPr/>
              <w:t>2,626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30" w:type="dxa"/>
            <w:tcBorders/>
            <w:shd w:fill="CCEEFF" w:val="clear"/>
            <w:tcMar>
              <w:bottom w:w="0" w:type="dxa"/>
            </w:tcMar>
            <w:vAlign w:val="center"/>
          </w:tcPr>
          <w:p>
            <w:pPr>
              <w:pStyle w:val="TableContents"/>
              <w:bidi w:val="0"/>
              <w:spacing w:before="0" w:after="283"/>
              <w:jc w:val="left"/>
              <w:rPr/>
            </w:pPr>
            <w:r>
              <w:rPr/>
              <w:t> </w:t>
            </w:r>
          </w:p>
        </w:tc>
        <w:tc>
          <w:tcPr>
            <w:tcW w:w="1150" w:type="dxa"/>
            <w:tcBorders/>
            <w:shd w:fill="CCEEFF" w:val="clear"/>
            <w:tcMar>
              <w:bottom w:w="0" w:type="dxa"/>
            </w:tcMar>
            <w:vAlign w:val="center"/>
          </w:tcPr>
          <w:p>
            <w:pPr>
              <w:pStyle w:val="TableContents"/>
              <w:bidi w:val="0"/>
              <w:spacing w:before="0" w:after="283"/>
              <w:jc w:val="right"/>
              <w:rPr/>
            </w:pPr>
            <w:r>
              <w:rPr/>
              <w:t>7,118</w:t>
            </w:r>
          </w:p>
        </w:tc>
        <w:tc>
          <w:tcPr>
            <w:tcW w:w="230" w:type="dxa"/>
            <w:tcBorders/>
            <w:shd w:fill="CCEEFF" w:val="clear"/>
            <w:tcMar>
              <w:bottom w:w="0" w:type="dxa"/>
            </w:tcMar>
            <w:vAlign w:val="center"/>
          </w:tcPr>
          <w:p>
            <w:pPr>
              <w:pStyle w:val="TableContents"/>
              <w:bidi w:val="0"/>
              <w:spacing w:before="0" w:after="283"/>
              <w:ind w:left="0" w:right="0" w:hanging="180"/>
              <w:jc w:val="left"/>
              <w:rPr/>
            </w:pPr>
            <w:r>
              <w:rPr/>
              <w:t> </w:t>
            </w:r>
          </w:p>
        </w:tc>
      </w:tr>
      <w:tr>
        <w:trPr/>
        <w:tc>
          <w:tcPr>
            <w:tcW w:w="1355" w:type="dxa"/>
            <w:tcBorders/>
            <w:shd w:fill="FFFFFF" w:val="clear"/>
            <w:tcMar>
              <w:bottom w:w="0" w:type="dxa"/>
            </w:tcMar>
            <w:vAlign w:val="center"/>
          </w:tcPr>
          <w:p>
            <w:pPr>
              <w:pStyle w:val="TableContents"/>
              <w:bidi w:val="0"/>
              <w:spacing w:before="0" w:after="283"/>
              <w:jc w:val="left"/>
              <w:rPr/>
            </w:pPr>
            <w:r>
              <w:rPr/>
              <w:t>Operating (loss) income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721" w:type="dxa"/>
            <w:tcBorders/>
            <w:shd w:fill="FFFFFF" w:val="clear"/>
            <w:tcMar>
              <w:bottom w:w="0" w:type="dxa"/>
            </w:tcMar>
            <w:vAlign w:val="center"/>
          </w:tcPr>
          <w:p>
            <w:pPr>
              <w:pStyle w:val="TableContents"/>
              <w:bidi w:val="0"/>
              <w:spacing w:before="0" w:after="283"/>
              <w:jc w:val="right"/>
              <w:rPr/>
            </w:pPr>
            <w:r>
              <w:rPr/>
              <w:t>-4.7</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jc w:val="left"/>
              <w:rPr/>
            </w:pPr>
            <w:r>
              <w:rPr/>
              <w:t> </w:t>
            </w:r>
          </w:p>
        </w:tc>
        <w:tc>
          <w:tcPr>
            <w:tcW w:w="1184"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59" w:type="dxa"/>
            <w:tcBorders/>
            <w:shd w:fill="FFFFFF" w:val="clear"/>
            <w:tcMar>
              <w:bottom w:w="0" w:type="dxa"/>
            </w:tcMar>
            <w:vAlign w:val="center"/>
          </w:tcPr>
          <w:p>
            <w:pPr>
              <w:pStyle w:val="TableContents"/>
              <w:bidi w:val="0"/>
              <w:spacing w:before="0" w:after="283"/>
              <w:jc w:val="left"/>
              <w:rPr/>
            </w:pPr>
            <w:r>
              <w:rPr/>
              <w:t> </w:t>
            </w:r>
          </w:p>
        </w:tc>
        <w:tc>
          <w:tcPr>
            <w:tcW w:w="55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shd w:fill="FFFFFF" w:val="clear"/>
            <w:tcMar>
              <w:bottom w:w="0" w:type="dxa"/>
            </w:tcMar>
            <w:vAlign w:val="center"/>
          </w:tcPr>
          <w:p>
            <w:pPr>
              <w:pStyle w:val="TableContents"/>
              <w:bidi w:val="0"/>
              <w:spacing w:before="0" w:after="283"/>
              <w:jc w:val="left"/>
              <w:rPr/>
            </w:pPr>
            <w:r>
              <w:rPr/>
              <w:t> </w:t>
            </w:r>
          </w:p>
        </w:tc>
        <w:tc>
          <w:tcPr>
            <w:tcW w:w="149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3" w:type="dxa"/>
            <w:tcBorders/>
            <w:shd w:fill="FFFFFF" w:val="clear"/>
            <w:tcMar>
              <w:bottom w:w="0" w:type="dxa"/>
            </w:tcMar>
            <w:vAlign w:val="center"/>
          </w:tcPr>
          <w:p>
            <w:pPr>
              <w:pStyle w:val="TableContents"/>
              <w:bidi w:val="0"/>
              <w:spacing w:before="0" w:after="283"/>
              <w:jc w:val="left"/>
              <w:rPr/>
            </w:pPr>
            <w:r>
              <w:rPr/>
              <w:t> </w:t>
            </w:r>
          </w:p>
        </w:tc>
        <w:tc>
          <w:tcPr>
            <w:tcW w:w="1337"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30" w:type="dxa"/>
            <w:tcBorders/>
            <w:shd w:fill="FFFFFF" w:val="clear"/>
            <w:tcMar>
              <w:bottom w:w="0" w:type="dxa"/>
            </w:tcMar>
            <w:vAlign w:val="center"/>
          </w:tcPr>
          <w:p>
            <w:pPr>
              <w:pStyle w:val="TableContents"/>
              <w:bidi w:val="0"/>
              <w:spacing w:before="0" w:after="283"/>
              <w:jc w:val="left"/>
              <w:rPr/>
            </w:pPr>
            <w:r>
              <w:rPr/>
              <w:t> </w:t>
            </w:r>
          </w:p>
        </w:tc>
        <w:tc>
          <w:tcPr>
            <w:tcW w:w="1150" w:type="dxa"/>
            <w:tcBorders/>
            <w:shd w:fill="FFFFFF" w:val="clear"/>
            <w:tcMar>
              <w:bottom w:w="0" w:type="dxa"/>
            </w:tcMar>
            <w:vAlign w:val="center"/>
          </w:tcPr>
          <w:p>
            <w:pPr>
              <w:pStyle w:val="TableContents"/>
              <w:bidi w:val="0"/>
              <w:spacing w:before="0" w:after="283"/>
              <w:jc w:val="right"/>
              <w:rPr/>
            </w:pPr>
            <w:r>
              <w:rPr/>
              <w:t>11.3</w:t>
            </w:r>
          </w:p>
        </w:tc>
        <w:tc>
          <w:tcPr>
            <w:tcW w:w="230"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4223</Words>
  <Characters>23254</Characters>
  <CharactersWithSpaces>28261</CharactersWithSpaces>
  <Paragraphs>2195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